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D82" w:rsidRDefault="00787222">
      <w:r w:rsidRPr="00787222">
        <w:rPr>
          <w:noProof/>
        </w:rPr>
        <w:drawing>
          <wp:inline distT="0" distB="0" distL="0" distR="0">
            <wp:extent cx="4572000" cy="264795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787222" w:rsidRDefault="00787222"/>
    <w:p w:rsidR="00787222" w:rsidRDefault="00787222">
      <w:r w:rsidRPr="00787222">
        <w:rPr>
          <w:noProof/>
        </w:rPr>
        <w:drawing>
          <wp:inline distT="0" distB="0" distL="0" distR="0">
            <wp:extent cx="4572000" cy="2647950"/>
            <wp:effectExtent l="19050" t="0" r="1905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C6177A" w:rsidRDefault="00C6177A">
      <w:r w:rsidRPr="00C6177A">
        <w:lastRenderedPageBreak/>
        <w:drawing>
          <wp:inline distT="0" distB="0" distL="0" distR="0">
            <wp:extent cx="4540250" cy="2571750"/>
            <wp:effectExtent l="19050" t="0" r="12700" b="0"/>
            <wp:docPr id="3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C6177A" w:rsidSect="00C16D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787222"/>
    <w:rsid w:val="00787222"/>
    <w:rsid w:val="00C16D82"/>
    <w:rsid w:val="00C6177A"/>
    <w:rsid w:val="00F75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D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7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2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BackUp%20(Pem's%20File)\PUBLICATION\STATISTICAL%20YEAR%20BOOK\SYB%202017\SYB%202017%20(final%20copy)\General%20writeups\Graphs\Graphs%20(Pem)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BackUp%20(Pem's%20File)\PUBLICATION\STATISTICAL%20YEAR%20BOOK\SYB%202017\SYB%202017%20(final%20copy)\General%20writeups\Graphs\Graphs%20(Pem)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E:\BackUp%20(Pem's%20File)\PUBLICATION\STATISTICAL%20YEAR%20BOOK\SYB%202017\SYB%202017%20(final%20copy)\General%20writeups\Graphs\Graphs%20(Pem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roundedCorners val="1"/>
  <c:style val="18"/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Unemplyment Rates</a:t>
            </a:r>
            <a:r>
              <a:rPr lang="en-US" sz="1200" baseline="0"/>
              <a:t> (2011 - 2015)</a:t>
            </a:r>
            <a:endParaRPr lang="en-US" sz="1200"/>
          </a:p>
        </c:rich>
      </c:tx>
    </c:title>
    <c:plotArea>
      <c:layout>
        <c:manualLayout>
          <c:layoutTarget val="inner"/>
          <c:xMode val="edge"/>
          <c:yMode val="edge"/>
          <c:x val="0.13089129483814524"/>
          <c:y val="0.2025579615048119"/>
          <c:w val="0.79870559930008866"/>
          <c:h val="0.68146216097987633"/>
        </c:manualLayout>
      </c:layout>
      <c:lineChart>
        <c:grouping val="stacked"/>
        <c:ser>
          <c:idx val="0"/>
          <c:order val="0"/>
          <c:tx>
            <c:strRef>
              <c:f>Labour!$B$1</c:f>
              <c:strCache>
                <c:ptCount val="1"/>
                <c:pt idx="0">
                  <c:v>Bhutan</c:v>
                </c:pt>
              </c:strCache>
            </c:strRef>
          </c:tx>
          <c:dLbls>
            <c:dLbl>
              <c:idx val="0"/>
              <c:layout>
                <c:manualLayout>
                  <c:x val="-4.6958442694663038E-2"/>
                  <c:y val="-6.0659813356663754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6958442694663038E-2"/>
                  <c:y val="-5.6030183727034118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4.4180664916885555E-2"/>
                  <c:y val="-5.6030183727034118E-2"/>
                </c:manualLayout>
              </c:layout>
              <c:dLblPos val="r"/>
              <c:showVal val="1"/>
            </c:dLbl>
            <c:txPr>
              <a:bodyPr/>
              <a:lstStyle/>
              <a:p>
                <a:pPr>
                  <a:defRPr b="1"/>
                </a:pPr>
                <a:endParaRPr lang="en-US"/>
              </a:p>
            </c:txPr>
            <c:dLblPos val="t"/>
            <c:showVal val="1"/>
          </c:dLbls>
          <c:cat>
            <c:numRef>
              <c:f>Labour!$A$3:$A$7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Labour!$B$3:$B$7</c:f>
              <c:numCache>
                <c:formatCode>General</c:formatCode>
                <c:ptCount val="5"/>
                <c:pt idx="0">
                  <c:v>3.1</c:v>
                </c:pt>
                <c:pt idx="1">
                  <c:v>2.1</c:v>
                </c:pt>
                <c:pt idx="2">
                  <c:v>2.9</c:v>
                </c:pt>
                <c:pt idx="3">
                  <c:v>2.6</c:v>
                </c:pt>
                <c:pt idx="4">
                  <c:v>2.5</c:v>
                </c:pt>
              </c:numCache>
            </c:numRef>
          </c:val>
        </c:ser>
        <c:ser>
          <c:idx val="1"/>
          <c:order val="1"/>
          <c:tx>
            <c:strRef>
              <c:f>Labour!$C$1</c:f>
              <c:strCache>
                <c:ptCount val="1"/>
                <c:pt idx="0">
                  <c:v>Youth</c:v>
                </c:pt>
              </c:strCache>
            </c:strRef>
          </c:tx>
          <c:dLbls>
            <c:dLbl>
              <c:idx val="0"/>
              <c:layout>
                <c:manualLayout>
                  <c:x val="-4.6958442694663038E-2"/>
                  <c:y val="-5.6030183727034118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4.6958442694663038E-2"/>
                  <c:y val="-6.0659813356663782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9736220472441216E-2"/>
                  <c:y val="-6.0659813356663754E-2"/>
                </c:manualLayout>
              </c:layout>
              <c:dLblPos val="r"/>
              <c:showVal val="1"/>
            </c:dLbl>
            <c:txPr>
              <a:bodyPr/>
              <a:lstStyle/>
              <a:p>
                <a:pPr>
                  <a:defRPr b="1"/>
                </a:pPr>
                <a:endParaRPr lang="en-US"/>
              </a:p>
            </c:txPr>
            <c:dLblPos val="t"/>
            <c:showVal val="1"/>
          </c:dLbls>
          <c:cat>
            <c:numRef>
              <c:f>Labour!$A$3:$A$7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Labour!$C$3:$C$7</c:f>
              <c:numCache>
                <c:formatCode>General</c:formatCode>
                <c:ptCount val="5"/>
                <c:pt idx="0">
                  <c:v>9.2000000000000011</c:v>
                </c:pt>
                <c:pt idx="1">
                  <c:v>7.3</c:v>
                </c:pt>
                <c:pt idx="2">
                  <c:v>9.6</c:v>
                </c:pt>
                <c:pt idx="3">
                  <c:v>9.4</c:v>
                </c:pt>
                <c:pt idx="4">
                  <c:v>10.7</c:v>
                </c:pt>
              </c:numCache>
            </c:numRef>
          </c:val>
        </c:ser>
        <c:marker val="1"/>
        <c:axId val="78693504"/>
        <c:axId val="78695040"/>
      </c:lineChart>
      <c:catAx>
        <c:axId val="78693504"/>
        <c:scaling>
          <c:orientation val="minMax"/>
        </c:scaling>
        <c:axPos val="b"/>
        <c:numFmt formatCode="General" sourceLinked="1"/>
        <c:majorTickMark val="none"/>
        <c:tickLblPos val="nextTo"/>
        <c:crossAx val="78695040"/>
        <c:crosses val="autoZero"/>
        <c:auto val="1"/>
        <c:lblAlgn val="ctr"/>
        <c:lblOffset val="100"/>
      </c:catAx>
      <c:valAx>
        <c:axId val="78695040"/>
        <c:scaling>
          <c:orientation val="minMax"/>
        </c:scaling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Percent</a:t>
                </a:r>
              </a:p>
            </c:rich>
          </c:tx>
        </c:title>
        <c:numFmt formatCode="General" sourceLinked="1"/>
        <c:majorTickMark val="none"/>
        <c:tickLblPos val="nextTo"/>
        <c:crossAx val="7869350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2681911636045624"/>
          <c:y val="0.40621318168562282"/>
          <c:w val="0.16484755030621176"/>
          <c:h val="0.16743438320210033"/>
        </c:manualLayout>
      </c:layout>
    </c:legend>
    <c:plotVisOnly val="1"/>
    <c:dispBlanksAs val="zero"/>
  </c:chart>
  <c:spPr>
    <a:ln>
      <a:solidFill>
        <a:schemeClr val="bg1">
          <a:lumMod val="75000"/>
        </a:schemeClr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roundedCorners val="1"/>
  <c:chart>
    <c:title>
      <c:tx>
        <c:rich>
          <a:bodyPr/>
          <a:lstStyle/>
          <a:p>
            <a:pPr>
              <a:defRPr sz="1100"/>
            </a:pPr>
            <a:r>
              <a:rPr lang="en-US" sz="1100"/>
              <a:t>Percent Distribution</a:t>
            </a:r>
            <a:r>
              <a:rPr lang="en-US" sz="1100" baseline="0"/>
              <a:t> of Agriculture Areas - 2010</a:t>
            </a:r>
            <a:endParaRPr lang="en-US" sz="1100"/>
          </a:p>
        </c:rich>
      </c:tx>
    </c:title>
    <c:plotArea>
      <c:layout>
        <c:manualLayout>
          <c:layoutTarget val="inner"/>
          <c:xMode val="edge"/>
          <c:yMode val="edge"/>
          <c:x val="0.14406080489938788"/>
          <c:y val="0.17440653251676924"/>
          <c:w val="0.48696216097987927"/>
          <c:h val="0.81160360163313094"/>
        </c:manualLayout>
      </c:layout>
      <c:pieChart>
        <c:varyColors val="1"/>
        <c:ser>
          <c:idx val="0"/>
          <c:order val="0"/>
          <c:tx>
            <c:strRef>
              <c:f>Agriculture!$B$1</c:f>
              <c:strCache>
                <c:ptCount val="1"/>
                <c:pt idx="0">
                  <c:v>Percent</c:v>
                </c:pt>
              </c:strCache>
            </c:strRef>
          </c:tx>
          <c:dLbls>
            <c:dLbl>
              <c:idx val="0"/>
              <c:layout>
                <c:manualLayout>
                  <c:x val="-0.10043285214348206"/>
                  <c:y val="0.12818533100029197"/>
                </c:manualLayout>
              </c:layout>
              <c:showVal val="1"/>
            </c:dLbl>
            <c:dLbl>
              <c:idx val="1"/>
              <c:layout>
                <c:manualLayout>
                  <c:x val="9.2617563429571323E-2"/>
                  <c:y val="-0.2571525955088948"/>
                </c:manualLayout>
              </c:layout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en-US"/>
              </a:p>
            </c:txPr>
            <c:showVal val="1"/>
            <c:showLeaderLines val="1"/>
          </c:dLbls>
          <c:cat>
            <c:strRef>
              <c:f>Agriculture!$A$2:$A$7</c:f>
              <c:strCache>
                <c:ptCount val="6"/>
                <c:pt idx="0">
                  <c:v>Wetland</c:v>
                </c:pt>
                <c:pt idx="1">
                  <c:v>Dryland</c:v>
                </c:pt>
                <c:pt idx="2">
                  <c:v>Citrus Orchard</c:v>
                </c:pt>
                <c:pt idx="3">
                  <c:v>Apple Orchard</c:v>
                </c:pt>
                <c:pt idx="4">
                  <c:v>Arecanut Plantation</c:v>
                </c:pt>
                <c:pt idx="5">
                  <c:v>Cardamom Plantation</c:v>
                </c:pt>
              </c:strCache>
            </c:strRef>
          </c:cat>
          <c:val>
            <c:numRef>
              <c:f>Agriculture!$B$2:$B$7</c:f>
              <c:numCache>
                <c:formatCode>0</c:formatCode>
                <c:ptCount val="6"/>
                <c:pt idx="0">
                  <c:v>28.376936347306458</c:v>
                </c:pt>
                <c:pt idx="1">
                  <c:v>60.695929002080874</c:v>
                </c:pt>
                <c:pt idx="2">
                  <c:v>4.8802176890106184</c:v>
                </c:pt>
                <c:pt idx="3">
                  <c:v>1.8505344407491058</c:v>
                </c:pt>
                <c:pt idx="4">
                  <c:v>0.99507354118128277</c:v>
                </c:pt>
                <c:pt idx="5">
                  <c:v>3.2013089796716883</c:v>
                </c:pt>
              </c:numCache>
            </c:numRef>
          </c:val>
        </c:ser>
        <c:firstSliceAng val="0"/>
      </c:pieChart>
    </c:plotArea>
    <c:legend>
      <c:legendPos val="r"/>
      <c:layout>
        <c:manualLayout>
          <c:xMode val="edge"/>
          <c:yMode val="edge"/>
          <c:x val="0.70563932633420956"/>
          <c:y val="0.18785287255759731"/>
          <c:w val="0.29436067366579288"/>
          <c:h val="0.71989574219889496"/>
        </c:manualLayout>
      </c:layout>
      <c:txPr>
        <a:bodyPr/>
        <a:lstStyle/>
        <a:p>
          <a:pPr>
            <a:defRPr sz="1000"/>
          </a:pPr>
          <a:endParaRPr lang="en-US"/>
        </a:p>
      </c:txPr>
    </c:legend>
    <c:plotVisOnly val="1"/>
    <c:dispBlanksAs val="zero"/>
  </c:chart>
  <c:spPr>
    <a:ln>
      <a:solidFill>
        <a:schemeClr val="bg1">
          <a:lumMod val="75000"/>
        </a:schemeClr>
      </a:solidFill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roundedCorners val="1"/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Protected Areas in Bhutan (Sq Km), 2016</a:t>
            </a:r>
          </a:p>
        </c:rich>
      </c:tx>
    </c:title>
    <c:plotArea>
      <c:layout>
        <c:manualLayout>
          <c:layoutTarget val="inner"/>
          <c:xMode val="edge"/>
          <c:yMode val="edge"/>
          <c:x val="0.36175258641997132"/>
          <c:y val="0.13415662025297687"/>
          <c:w val="0.58900974541859452"/>
          <c:h val="0.71000961711847288"/>
        </c:manualLayout>
      </c:layout>
      <c:barChart>
        <c:barDir val="bar"/>
        <c:grouping val="stacked"/>
        <c:ser>
          <c:idx val="0"/>
          <c:order val="0"/>
          <c:dLbls>
            <c:dLbl>
              <c:idx val="0"/>
              <c:layout>
                <c:manualLayout>
                  <c:x val="6.6008137157662489E-2"/>
                  <c:y val="0"/>
                </c:manualLayout>
              </c:layout>
              <c:dLblPos val="inEnd"/>
              <c:showVal val="1"/>
            </c:dLbl>
            <c:dLbl>
              <c:idx val="1"/>
              <c:layout>
                <c:manualLayout>
                  <c:x val="7.0820800356253683E-2"/>
                  <c:y val="-3.4763866445319321E-7"/>
                </c:manualLayout>
              </c:layout>
              <c:dLblPos val="inEnd"/>
              <c:showVal val="1"/>
            </c:dLbl>
            <c:dLbl>
              <c:idx val="2"/>
              <c:layout>
                <c:manualLayout>
                  <c:x val="6.6008137157662586E-2"/>
                  <c:y val="8.0940933984763348E-17"/>
                </c:manualLayout>
              </c:layout>
              <c:dLblPos val="inEnd"/>
              <c:showVal val="1"/>
            </c:dLbl>
            <c:dLbl>
              <c:idx val="3"/>
              <c:layout>
                <c:manualLayout>
                  <c:x val="6.8578831245066099E-2"/>
                  <c:y val="-3.4763866437225232E-7"/>
                </c:manualLayout>
              </c:layout>
              <c:dLblPos val="inEnd"/>
              <c:showVal val="1"/>
            </c:dLbl>
            <c:dLbl>
              <c:idx val="4"/>
              <c:layout>
                <c:manualLayout>
                  <c:x val="6.6008137157662489E-2"/>
                  <c:y val="0"/>
                </c:manualLayout>
              </c:layout>
              <c:dLblPos val="inEnd"/>
              <c:showVal val="1"/>
            </c:dLbl>
            <c:dLbl>
              <c:idx val="5"/>
              <c:layout>
                <c:manualLayout>
                  <c:x val="6.8250106268849989E-2"/>
                  <c:y val="0"/>
                </c:manualLayout>
              </c:layout>
              <c:dLblPos val="inEnd"/>
              <c:showVal val="1"/>
            </c:dLbl>
            <c:dLbl>
              <c:idx val="6"/>
              <c:layout>
                <c:manualLayout>
                  <c:x val="4.9984413901989821E-2"/>
                  <c:y val="-4.4150110375275895E-3"/>
                </c:manualLayout>
              </c:layout>
              <c:dLblPos val="inEnd"/>
              <c:showVal val="1"/>
            </c:dLbl>
            <c:dLbl>
              <c:idx val="7"/>
              <c:layout>
                <c:manualLayout>
                  <c:x val="5.2883428131894887E-2"/>
                  <c:y val="0"/>
                </c:manualLayout>
              </c:layout>
              <c:dLblPos val="inEnd"/>
              <c:showVal val="1"/>
            </c:dLbl>
            <c:dLbl>
              <c:idx val="8"/>
              <c:layout>
                <c:manualLayout>
                  <c:x val="5.5125599659939684E-2"/>
                  <c:y val="0"/>
                </c:manualLayout>
              </c:layout>
              <c:dLblPos val="inEnd"/>
              <c:showVal val="1"/>
            </c:dLbl>
            <c:dLbl>
              <c:idx val="9"/>
              <c:layout>
                <c:manualLayout>
                  <c:x val="4.9327354260089683E-2"/>
                  <c:y val="0"/>
                </c:manualLayout>
              </c:layout>
              <c:dLblPos val="inEnd"/>
              <c:showVal val="1"/>
            </c:dLbl>
            <c:dLbl>
              <c:idx val="10"/>
              <c:layout>
                <c:manualLayout>
                  <c:x val="4.9327354260089683E-2"/>
                  <c:y val="0"/>
                </c:manualLayout>
              </c:layout>
              <c:dLblPos val="inEnd"/>
              <c:showVal val="1"/>
            </c:dLbl>
            <c:dLbl>
              <c:idx val="11"/>
              <c:layout>
                <c:manualLayout>
                  <c:x val="4.1015727789810337E-2"/>
                  <c:y val="6.4869374771862128E-4"/>
                </c:manualLayout>
              </c:layout>
              <c:dLblPos val="inEnd"/>
              <c:showVal val="1"/>
            </c:dLbl>
            <c:txPr>
              <a:bodyPr/>
              <a:lstStyle/>
              <a:p>
                <a:pPr>
                  <a:defRPr sz="800"/>
                </a:pPr>
                <a:endParaRPr lang="en-US"/>
              </a:p>
            </c:txPr>
            <c:dLblPos val="inEnd"/>
            <c:showVal val="1"/>
          </c:dLbls>
          <c:cat>
            <c:strRef>
              <c:f>Environment!$A$3:$A$14</c:f>
              <c:strCache>
                <c:ptCount val="12"/>
                <c:pt idx="0">
                  <c:v>  Wangchuck Centenial National Park</c:v>
                </c:pt>
                <c:pt idx="1">
                  <c:v>   Jigme Dorji National Park</c:v>
                </c:pt>
                <c:pt idx="2">
                  <c:v>   Biological Corridors</c:v>
                </c:pt>
                <c:pt idx="3">
                  <c:v>   Jigme Singye Wangchuck National Park</c:v>
                </c:pt>
                <c:pt idx="4">
                  <c:v>   Bomdeling Wildlife Sanctuary</c:v>
                </c:pt>
                <c:pt idx="5">
                  <c:v>   Royal Manas National Park</c:v>
                </c:pt>
                <c:pt idx="6">
                  <c:v>   Phrumsengla National Park</c:v>
                </c:pt>
                <c:pt idx="7">
                  <c:v>   Sakteng Wildlife Sanctuary</c:v>
                </c:pt>
                <c:pt idx="8">
                  <c:v>   Jigme Khesar Strict Nature Reserve</c:v>
                </c:pt>
                <c:pt idx="9">
                  <c:v>   JomotshangkhaWildlife Sanctuary</c:v>
                </c:pt>
                <c:pt idx="10">
                  <c:v>   Phibsoo Wildlife Sanctuary</c:v>
                </c:pt>
                <c:pt idx="11">
                  <c:v>   Royal Botanical Park </c:v>
                </c:pt>
              </c:strCache>
            </c:strRef>
          </c:cat>
          <c:val>
            <c:numRef>
              <c:f>Environment!$B$3:$B$14</c:f>
              <c:numCache>
                <c:formatCode>#,##0_);\(#,##0\)</c:formatCode>
                <c:ptCount val="12"/>
                <c:pt idx="0">
                  <c:v>4914</c:v>
                </c:pt>
                <c:pt idx="1">
                  <c:v>4316</c:v>
                </c:pt>
                <c:pt idx="2">
                  <c:v>3307.14</c:v>
                </c:pt>
                <c:pt idx="3">
                  <c:v>1730</c:v>
                </c:pt>
                <c:pt idx="4">
                  <c:v>1520</c:v>
                </c:pt>
                <c:pt idx="5">
                  <c:v>1057</c:v>
                </c:pt>
                <c:pt idx="6">
                  <c:v>905.05</c:v>
                </c:pt>
                <c:pt idx="7">
                  <c:v>740.6</c:v>
                </c:pt>
                <c:pt idx="8">
                  <c:v>609.51</c:v>
                </c:pt>
                <c:pt idx="9">
                  <c:v>334.72999999999996</c:v>
                </c:pt>
                <c:pt idx="10">
                  <c:v>268.92999999999995</c:v>
                </c:pt>
                <c:pt idx="11">
                  <c:v>47</c:v>
                </c:pt>
              </c:numCache>
            </c:numRef>
          </c:val>
        </c:ser>
        <c:dLbls>
          <c:showVal val="1"/>
        </c:dLbls>
        <c:gapWidth val="30"/>
        <c:overlap val="100"/>
        <c:axId val="78886400"/>
        <c:axId val="78887936"/>
      </c:barChart>
      <c:catAx>
        <c:axId val="78886400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sz="900"/>
            </a:pPr>
            <a:endParaRPr lang="en-US"/>
          </a:p>
        </c:txPr>
        <c:crossAx val="78887936"/>
        <c:crosses val="autoZero"/>
        <c:auto val="1"/>
        <c:lblAlgn val="ctr"/>
        <c:lblOffset val="100"/>
      </c:catAx>
      <c:valAx>
        <c:axId val="78887936"/>
        <c:scaling>
          <c:orientation val="minMax"/>
        </c:scaling>
        <c:axPos val="b"/>
        <c:numFmt formatCode="#,##0_);\(#,##0\)" sourceLinked="1"/>
        <c:maj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sz="900"/>
            </a:pPr>
            <a:endParaRPr lang="en-US"/>
          </a:p>
        </c:txPr>
        <c:crossAx val="78886400"/>
        <c:crosses val="autoZero"/>
        <c:crossBetween val="between"/>
      </c:valAx>
    </c:plotArea>
    <c:plotVisOnly val="1"/>
  </c:chart>
  <c:spPr>
    <a:solidFill>
      <a:schemeClr val="lt1"/>
    </a:solidFill>
    <a:ln w="9525" cap="flat" cmpd="sng" algn="ctr">
      <a:solidFill>
        <a:schemeClr val="accent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2017-10-17T06:23:00Z</dcterms:created>
  <dcterms:modified xsi:type="dcterms:W3CDTF">2017-10-17T08:54:00Z</dcterms:modified>
</cp:coreProperties>
</file>