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3E34A" w14:textId="77777777" w:rsidR="008F675B" w:rsidRPr="00F43EDD" w:rsidRDefault="008F675B" w:rsidP="008F675B">
      <w:pPr>
        <w:pStyle w:val="Heading1"/>
        <w:ind w:left="152"/>
        <w:jc w:val="left"/>
        <w:rPr>
          <w:rFonts w:asciiTheme="minorHAnsi" w:hAnsiTheme="minorHAnsi" w:cstheme="minorHAnsi"/>
          <w:color w:val="00B050"/>
          <w:szCs w:val="28"/>
        </w:rPr>
      </w:pPr>
      <w:bookmarkStart w:id="0" w:name="_Toc111476464"/>
      <w:r w:rsidRPr="00F43EDD">
        <w:rPr>
          <w:rFonts w:asciiTheme="minorHAnsi" w:hAnsiTheme="minorHAnsi" w:cstheme="minorHAnsi"/>
          <w:noProof/>
          <w:color w:val="00B050"/>
          <w:szCs w:val="28"/>
        </w:rPr>
        <mc:AlternateContent>
          <mc:Choice Requires="wps">
            <w:drawing>
              <wp:anchor distT="0" distB="0" distL="0" distR="0" simplePos="0" relativeHeight="251659264" behindDoc="1" locked="0" layoutInCell="1" allowOverlap="1" wp14:anchorId="093453C5" wp14:editId="377E7194">
                <wp:simplePos x="0" y="0"/>
                <wp:positionH relativeFrom="margin">
                  <wp:posOffset>95250</wp:posOffset>
                </wp:positionH>
                <wp:positionV relativeFrom="paragraph">
                  <wp:posOffset>228600</wp:posOffset>
                </wp:positionV>
                <wp:extent cx="5880100" cy="82550"/>
                <wp:effectExtent l="0" t="0" r="0" b="0"/>
                <wp:wrapTopAndBottom/>
                <wp:docPr id="852" name="Freeform 8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80100" cy="82550"/>
                        </a:xfrm>
                        <a:custGeom>
                          <a:avLst/>
                          <a:gdLst>
                            <a:gd name="T0" fmla="+- 0 1819 1819"/>
                            <a:gd name="T1" fmla="*/ T0 w 8620"/>
                            <a:gd name="T2" fmla="+- 0 10439 1819"/>
                            <a:gd name="T3" fmla="*/ T2 w 8620"/>
                          </a:gdLst>
                          <a:ahLst/>
                          <a:cxnLst>
                            <a:cxn ang="0">
                              <a:pos x="T1" y="0"/>
                            </a:cxn>
                            <a:cxn ang="0">
                              <a:pos x="T3" y="0"/>
                            </a:cxn>
                          </a:cxnLst>
                          <a:rect l="0" t="0" r="r" b="b"/>
                          <a:pathLst>
                            <a:path w="8620">
                              <a:moveTo>
                                <a:pt x="0" y="0"/>
                              </a:moveTo>
                              <a:lnTo>
                                <a:pt x="8620" y="0"/>
                              </a:lnTo>
                            </a:path>
                          </a:pathLst>
                        </a:custGeom>
                        <a:noFill/>
                        <a:ln w="12700">
                          <a:solidFill>
                            <a:srgbClr val="231F2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65F5E8" id="Freeform 852" o:spid="_x0000_s1026" style="position:absolute;margin-left:7.5pt;margin-top:18pt;width:463pt;height:6.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coordsize="8620,82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" path="m,l8620,e" filled="f" strokecolor="#231f20" strokeweight="1pt">
                <v:path arrowok="t" o:connecttype="custom" o:connectlocs="0,0;5880100,0" o:connectangles="0,0"/>
                <w10:wrap type="topAndBottom" anchorx="margin"/>
              </v:shape>
            </w:pict>
          </mc:Fallback>
        </mc:AlternateContent>
      </w:r>
      <w:r w:rsidRPr="00F43EDD">
        <w:rPr>
          <w:rFonts w:asciiTheme="minorHAnsi" w:hAnsiTheme="minorHAnsi" w:cstheme="minorHAnsi"/>
          <w:color w:val="00B050"/>
          <w:szCs w:val="28"/>
        </w:rPr>
        <w:t>CHAPTER 15 PRICES</w:t>
      </w:r>
      <w:bookmarkEnd w:id="0"/>
    </w:p>
    <w:p w14:paraId="48337C54" w14:textId="77777777" w:rsidR="008F675B" w:rsidRPr="00DC5A8A" w:rsidRDefault="008F675B" w:rsidP="008F675B">
      <w:pPr>
        <w:spacing w:line="285" w:lineRule="auto"/>
        <w:ind w:left="142" w:right="478"/>
        <w:jc w:val="both"/>
      </w:pPr>
      <w:r w:rsidRPr="00DC5A8A">
        <w:rPr>
          <w:color w:val="231F20"/>
        </w:rPr>
        <w:t>The only price statistics currently compiled in Bhutan relate to Consumer Price Indices, often</w:t>
      </w:r>
      <w:r w:rsidRPr="00DC5A8A">
        <w:rPr>
          <w:color w:val="231F20"/>
          <w:spacing w:val="-2"/>
        </w:rPr>
        <w:t xml:space="preserve"> </w:t>
      </w:r>
      <w:r w:rsidRPr="00DC5A8A">
        <w:rPr>
          <w:color w:val="231F20"/>
        </w:rPr>
        <w:t>referred</w:t>
      </w:r>
      <w:r w:rsidRPr="00DC5A8A">
        <w:rPr>
          <w:color w:val="231F20"/>
          <w:spacing w:val="-2"/>
        </w:rPr>
        <w:t xml:space="preserve"> </w:t>
      </w:r>
      <w:r w:rsidRPr="00DC5A8A">
        <w:rPr>
          <w:color w:val="231F20"/>
        </w:rPr>
        <w:t>to</w:t>
      </w:r>
      <w:r w:rsidRPr="00DC5A8A">
        <w:rPr>
          <w:color w:val="231F20"/>
          <w:spacing w:val="-2"/>
        </w:rPr>
        <w:t xml:space="preserve"> </w:t>
      </w:r>
      <w:r w:rsidRPr="00DC5A8A">
        <w:rPr>
          <w:color w:val="231F20"/>
        </w:rPr>
        <w:t>as</w:t>
      </w:r>
      <w:r w:rsidRPr="00DC5A8A">
        <w:rPr>
          <w:color w:val="231F20"/>
          <w:spacing w:val="-2"/>
        </w:rPr>
        <w:t xml:space="preserve"> </w:t>
      </w:r>
      <w:r w:rsidRPr="00DC5A8A">
        <w:rPr>
          <w:color w:val="231F20"/>
        </w:rPr>
        <w:t>the</w:t>
      </w:r>
      <w:r w:rsidRPr="00DC5A8A">
        <w:rPr>
          <w:color w:val="231F20"/>
          <w:spacing w:val="-2"/>
        </w:rPr>
        <w:t xml:space="preserve"> </w:t>
      </w:r>
      <w:r w:rsidRPr="00DC5A8A">
        <w:rPr>
          <w:color w:val="231F20"/>
        </w:rPr>
        <w:t>CPI.</w:t>
      </w:r>
      <w:r w:rsidRPr="00DC5A8A">
        <w:rPr>
          <w:color w:val="231F20"/>
          <w:spacing w:val="-2"/>
        </w:rPr>
        <w:t xml:space="preserve"> </w:t>
      </w:r>
      <w:r w:rsidRPr="00DC5A8A">
        <w:rPr>
          <w:color w:val="231F20"/>
        </w:rPr>
        <w:t>Since</w:t>
      </w:r>
      <w:r w:rsidRPr="00DC5A8A">
        <w:rPr>
          <w:color w:val="231F20"/>
          <w:spacing w:val="-2"/>
        </w:rPr>
        <w:t xml:space="preserve"> </w:t>
      </w:r>
      <w:r w:rsidRPr="00DC5A8A">
        <w:rPr>
          <w:color w:val="231F20"/>
        </w:rPr>
        <w:t>1979,</w:t>
      </w:r>
      <w:r w:rsidRPr="00DC5A8A">
        <w:rPr>
          <w:color w:val="231F20"/>
          <w:spacing w:val="-2"/>
        </w:rPr>
        <w:t xml:space="preserve"> </w:t>
      </w:r>
      <w:r w:rsidRPr="00DC5A8A">
        <w:rPr>
          <w:color w:val="231F20"/>
        </w:rPr>
        <w:t>the</w:t>
      </w:r>
      <w:r w:rsidRPr="00DC5A8A">
        <w:rPr>
          <w:color w:val="231F20"/>
          <w:spacing w:val="-2"/>
        </w:rPr>
        <w:t xml:space="preserve"> </w:t>
      </w:r>
      <w:r w:rsidRPr="00DC5A8A">
        <w:rPr>
          <w:color w:val="231F20"/>
        </w:rPr>
        <w:t>CPI</w:t>
      </w:r>
      <w:r w:rsidRPr="00DC5A8A">
        <w:rPr>
          <w:color w:val="231F20"/>
          <w:spacing w:val="-2"/>
        </w:rPr>
        <w:t xml:space="preserve"> </w:t>
      </w:r>
      <w:r w:rsidRPr="00DC5A8A">
        <w:rPr>
          <w:color w:val="231F20"/>
        </w:rPr>
        <w:t>had</w:t>
      </w:r>
      <w:r w:rsidRPr="00DC5A8A">
        <w:rPr>
          <w:color w:val="231F20"/>
          <w:spacing w:val="-2"/>
        </w:rPr>
        <w:t xml:space="preserve"> </w:t>
      </w:r>
      <w:r w:rsidRPr="00DC5A8A">
        <w:rPr>
          <w:color w:val="231F20"/>
        </w:rPr>
        <w:t>been</w:t>
      </w:r>
      <w:r w:rsidRPr="00DC5A8A">
        <w:rPr>
          <w:color w:val="231F20"/>
          <w:spacing w:val="-2"/>
        </w:rPr>
        <w:t xml:space="preserve"> </w:t>
      </w:r>
      <w:r w:rsidRPr="00DC5A8A">
        <w:rPr>
          <w:color w:val="231F20"/>
        </w:rPr>
        <w:t>produced</w:t>
      </w:r>
      <w:r w:rsidRPr="00DC5A8A">
        <w:rPr>
          <w:color w:val="231F20"/>
          <w:spacing w:val="-2"/>
        </w:rPr>
        <w:t xml:space="preserve"> </w:t>
      </w:r>
      <w:r w:rsidRPr="00DC5A8A">
        <w:rPr>
          <w:color w:val="231F20"/>
        </w:rPr>
        <w:t>by</w:t>
      </w:r>
      <w:r w:rsidRPr="00DC5A8A">
        <w:rPr>
          <w:color w:val="231F20"/>
          <w:spacing w:val="-2"/>
        </w:rPr>
        <w:t xml:space="preserve"> </w:t>
      </w:r>
      <w:r w:rsidRPr="00DC5A8A">
        <w:rPr>
          <w:color w:val="231F20"/>
        </w:rPr>
        <w:t>the</w:t>
      </w:r>
      <w:r w:rsidRPr="00DC5A8A">
        <w:rPr>
          <w:color w:val="231F20"/>
          <w:spacing w:val="-2"/>
        </w:rPr>
        <w:t xml:space="preserve"> </w:t>
      </w:r>
      <w:r w:rsidRPr="00DC5A8A">
        <w:rPr>
          <w:color w:val="231F20"/>
        </w:rPr>
        <w:t>NSB</w:t>
      </w:r>
      <w:r w:rsidRPr="00DC5A8A">
        <w:rPr>
          <w:color w:val="231F20"/>
          <w:spacing w:val="-2"/>
        </w:rPr>
        <w:t xml:space="preserve"> </w:t>
      </w:r>
      <w:r w:rsidRPr="00DC5A8A">
        <w:rPr>
          <w:color w:val="231F20"/>
        </w:rPr>
        <w:t>twice</w:t>
      </w:r>
      <w:r w:rsidRPr="00DC5A8A">
        <w:rPr>
          <w:color w:val="231F20"/>
          <w:spacing w:val="-2"/>
        </w:rPr>
        <w:t xml:space="preserve"> </w:t>
      </w:r>
      <w:r w:rsidRPr="00DC5A8A">
        <w:rPr>
          <w:color w:val="231F20"/>
        </w:rPr>
        <w:t>a year</w:t>
      </w:r>
      <w:r w:rsidRPr="00DC5A8A">
        <w:rPr>
          <w:color w:val="231F20"/>
          <w:spacing w:val="-5"/>
        </w:rPr>
        <w:t xml:space="preserve"> </w:t>
      </w:r>
      <w:r w:rsidRPr="00DC5A8A">
        <w:rPr>
          <w:color w:val="231F20"/>
        </w:rPr>
        <w:t>till</w:t>
      </w:r>
      <w:r w:rsidRPr="00DC5A8A">
        <w:rPr>
          <w:color w:val="231F20"/>
          <w:spacing w:val="-4"/>
        </w:rPr>
        <w:t xml:space="preserve"> </w:t>
      </w:r>
      <w:r w:rsidRPr="00DC5A8A">
        <w:rPr>
          <w:color w:val="231F20"/>
        </w:rPr>
        <w:t>2003.</w:t>
      </w:r>
      <w:r w:rsidRPr="00DC5A8A">
        <w:rPr>
          <w:color w:val="231F20"/>
          <w:spacing w:val="40"/>
        </w:rPr>
        <w:t xml:space="preserve"> </w:t>
      </w:r>
      <w:r w:rsidRPr="00DC5A8A">
        <w:rPr>
          <w:color w:val="231F20"/>
        </w:rPr>
        <w:t>From</w:t>
      </w:r>
      <w:r w:rsidRPr="00DC5A8A">
        <w:rPr>
          <w:color w:val="231F20"/>
          <w:spacing w:val="-5"/>
        </w:rPr>
        <w:t xml:space="preserve"> </w:t>
      </w:r>
      <w:r w:rsidRPr="00DC5A8A">
        <w:rPr>
          <w:color w:val="231F20"/>
        </w:rPr>
        <w:t>3rd</w:t>
      </w:r>
      <w:r w:rsidRPr="00DC5A8A">
        <w:rPr>
          <w:color w:val="231F20"/>
          <w:spacing w:val="-5"/>
        </w:rPr>
        <w:t xml:space="preserve"> </w:t>
      </w:r>
      <w:r w:rsidRPr="00DC5A8A">
        <w:rPr>
          <w:color w:val="231F20"/>
        </w:rPr>
        <w:t>quarter</w:t>
      </w:r>
      <w:r w:rsidRPr="00DC5A8A">
        <w:rPr>
          <w:color w:val="231F20"/>
          <w:spacing w:val="-5"/>
        </w:rPr>
        <w:t xml:space="preserve"> </w:t>
      </w:r>
      <w:r w:rsidRPr="00DC5A8A">
        <w:rPr>
          <w:color w:val="231F20"/>
        </w:rPr>
        <w:t>2003,</w:t>
      </w:r>
      <w:r w:rsidRPr="00DC5A8A">
        <w:rPr>
          <w:color w:val="231F20"/>
          <w:spacing w:val="-5"/>
        </w:rPr>
        <w:t xml:space="preserve"> </w:t>
      </w:r>
      <w:r w:rsidRPr="00DC5A8A">
        <w:rPr>
          <w:color w:val="231F20"/>
        </w:rPr>
        <w:t>it</w:t>
      </w:r>
      <w:r w:rsidRPr="00DC5A8A">
        <w:rPr>
          <w:color w:val="231F20"/>
          <w:spacing w:val="-5"/>
        </w:rPr>
        <w:t xml:space="preserve"> </w:t>
      </w:r>
      <w:r w:rsidRPr="00DC5A8A">
        <w:rPr>
          <w:color w:val="231F20"/>
        </w:rPr>
        <w:t>has</w:t>
      </w:r>
      <w:r w:rsidRPr="00DC5A8A">
        <w:rPr>
          <w:color w:val="231F20"/>
          <w:spacing w:val="-5"/>
        </w:rPr>
        <w:t xml:space="preserve"> </w:t>
      </w:r>
      <w:r w:rsidRPr="00DC5A8A">
        <w:rPr>
          <w:color w:val="231F20"/>
        </w:rPr>
        <w:t>been</w:t>
      </w:r>
      <w:r w:rsidRPr="00DC5A8A">
        <w:rPr>
          <w:color w:val="231F20"/>
          <w:spacing w:val="-5"/>
        </w:rPr>
        <w:t xml:space="preserve"> </w:t>
      </w:r>
      <w:r w:rsidRPr="00DC5A8A">
        <w:rPr>
          <w:color w:val="231F20"/>
        </w:rPr>
        <w:t>producing</w:t>
      </w:r>
      <w:r w:rsidRPr="00DC5A8A">
        <w:rPr>
          <w:color w:val="231F20"/>
          <w:spacing w:val="-5"/>
        </w:rPr>
        <w:t xml:space="preserve"> </w:t>
      </w:r>
      <w:r w:rsidRPr="00DC5A8A">
        <w:rPr>
          <w:color w:val="231F20"/>
        </w:rPr>
        <w:t>quarterly.</w:t>
      </w:r>
      <w:r w:rsidRPr="00DC5A8A">
        <w:rPr>
          <w:color w:val="231F20"/>
          <w:spacing w:val="-5"/>
        </w:rPr>
        <w:t xml:space="preserve"> </w:t>
      </w:r>
      <w:r w:rsidRPr="00DC5A8A">
        <w:rPr>
          <w:color w:val="231F20"/>
        </w:rPr>
        <w:t>In</w:t>
      </w:r>
      <w:r w:rsidRPr="00DC5A8A">
        <w:rPr>
          <w:color w:val="231F20"/>
          <w:spacing w:val="-5"/>
        </w:rPr>
        <w:t xml:space="preserve"> </w:t>
      </w:r>
      <w:r w:rsidRPr="00DC5A8A">
        <w:rPr>
          <w:color w:val="231F20"/>
        </w:rPr>
        <w:t>addition,</w:t>
      </w:r>
      <w:r w:rsidRPr="00DC5A8A">
        <w:rPr>
          <w:color w:val="231F20"/>
          <w:spacing w:val="-5"/>
        </w:rPr>
        <w:t xml:space="preserve"> </w:t>
      </w:r>
      <w:r w:rsidRPr="00DC5A8A">
        <w:rPr>
          <w:color w:val="231F20"/>
        </w:rPr>
        <w:t>a</w:t>
      </w:r>
      <w:r w:rsidRPr="00DC5A8A">
        <w:rPr>
          <w:color w:val="231F20"/>
          <w:spacing w:val="-5"/>
        </w:rPr>
        <w:t xml:space="preserve"> </w:t>
      </w:r>
      <w:r w:rsidRPr="00DC5A8A">
        <w:rPr>
          <w:color w:val="231F20"/>
        </w:rPr>
        <w:t>food price index for Thimphu has been produced each quarter since September 1987.</w:t>
      </w:r>
    </w:p>
    <w:p w14:paraId="7A357276" w14:textId="77777777" w:rsidR="008F675B" w:rsidRPr="00DC5A8A" w:rsidRDefault="008F675B" w:rsidP="008F675B">
      <w:pPr>
        <w:spacing w:line="285" w:lineRule="auto"/>
        <w:ind w:left="142" w:right="479"/>
        <w:jc w:val="both"/>
      </w:pPr>
      <w:r w:rsidRPr="00DC5A8A">
        <w:rPr>
          <w:color w:val="231F20"/>
        </w:rPr>
        <w:t>The purpose of the CPI is to provide a general indicator of the rate of price change for consumer</w:t>
      </w:r>
      <w:r w:rsidRPr="00DC5A8A">
        <w:rPr>
          <w:color w:val="231F20"/>
          <w:spacing w:val="-15"/>
        </w:rPr>
        <w:t xml:space="preserve"> </w:t>
      </w:r>
      <w:r w:rsidRPr="00DC5A8A">
        <w:rPr>
          <w:color w:val="231F20"/>
        </w:rPr>
        <w:t>goods</w:t>
      </w:r>
      <w:r w:rsidRPr="00DC5A8A">
        <w:rPr>
          <w:color w:val="231F20"/>
          <w:spacing w:val="-11"/>
        </w:rPr>
        <w:t xml:space="preserve"> </w:t>
      </w:r>
      <w:r w:rsidRPr="00DC5A8A">
        <w:rPr>
          <w:color w:val="231F20"/>
        </w:rPr>
        <w:t>and</w:t>
      </w:r>
      <w:r w:rsidRPr="00DC5A8A">
        <w:rPr>
          <w:color w:val="231F20"/>
          <w:spacing w:val="-11"/>
        </w:rPr>
        <w:t xml:space="preserve"> </w:t>
      </w:r>
      <w:r w:rsidRPr="00DC5A8A">
        <w:rPr>
          <w:color w:val="231F20"/>
        </w:rPr>
        <w:t>services.</w:t>
      </w:r>
      <w:r w:rsidRPr="00DC5A8A">
        <w:rPr>
          <w:color w:val="231F20"/>
          <w:spacing w:val="-16"/>
        </w:rPr>
        <w:t xml:space="preserve"> </w:t>
      </w:r>
      <w:r w:rsidRPr="00DC5A8A">
        <w:rPr>
          <w:color w:val="231F20"/>
        </w:rPr>
        <w:t>The</w:t>
      </w:r>
      <w:r w:rsidRPr="00DC5A8A">
        <w:rPr>
          <w:color w:val="231F20"/>
          <w:spacing w:val="-10"/>
        </w:rPr>
        <w:t xml:space="preserve"> </w:t>
      </w:r>
      <w:r w:rsidRPr="00DC5A8A">
        <w:rPr>
          <w:color w:val="231F20"/>
        </w:rPr>
        <w:t>CPI</w:t>
      </w:r>
      <w:r w:rsidRPr="00DC5A8A">
        <w:rPr>
          <w:color w:val="231F20"/>
          <w:spacing w:val="-11"/>
        </w:rPr>
        <w:t xml:space="preserve"> </w:t>
      </w:r>
      <w:r w:rsidRPr="00DC5A8A">
        <w:rPr>
          <w:color w:val="231F20"/>
        </w:rPr>
        <w:t>is</w:t>
      </w:r>
      <w:r w:rsidRPr="00DC5A8A">
        <w:rPr>
          <w:color w:val="231F20"/>
          <w:spacing w:val="-11"/>
        </w:rPr>
        <w:t xml:space="preserve"> </w:t>
      </w:r>
      <w:r w:rsidRPr="00DC5A8A">
        <w:rPr>
          <w:color w:val="231F20"/>
        </w:rPr>
        <w:t>important</w:t>
      </w:r>
      <w:r w:rsidRPr="00DC5A8A">
        <w:rPr>
          <w:color w:val="231F20"/>
          <w:spacing w:val="-11"/>
        </w:rPr>
        <w:t xml:space="preserve"> </w:t>
      </w:r>
      <w:r w:rsidRPr="00DC5A8A">
        <w:rPr>
          <w:color w:val="231F20"/>
        </w:rPr>
        <w:t>monitoring</w:t>
      </w:r>
      <w:r w:rsidRPr="00DC5A8A">
        <w:rPr>
          <w:color w:val="231F20"/>
          <w:spacing w:val="-11"/>
        </w:rPr>
        <w:t xml:space="preserve"> </w:t>
      </w:r>
      <w:r w:rsidRPr="00DC5A8A">
        <w:rPr>
          <w:color w:val="231F20"/>
        </w:rPr>
        <w:t>overall</w:t>
      </w:r>
      <w:r w:rsidRPr="00DC5A8A">
        <w:rPr>
          <w:color w:val="231F20"/>
          <w:spacing w:val="-11"/>
        </w:rPr>
        <w:t xml:space="preserve"> </w:t>
      </w:r>
      <w:r w:rsidRPr="00DC5A8A">
        <w:rPr>
          <w:color w:val="231F20"/>
        </w:rPr>
        <w:t>price</w:t>
      </w:r>
      <w:r w:rsidRPr="00DC5A8A">
        <w:rPr>
          <w:color w:val="231F20"/>
          <w:spacing w:val="-11"/>
        </w:rPr>
        <w:t xml:space="preserve"> </w:t>
      </w:r>
      <w:r w:rsidRPr="00DC5A8A">
        <w:rPr>
          <w:color w:val="231F20"/>
        </w:rPr>
        <w:t>development and assessing changes in the living standard of the population.</w:t>
      </w:r>
    </w:p>
    <w:p w14:paraId="6F7511CD" w14:textId="77777777" w:rsidR="008F675B" w:rsidRPr="00DC5A8A" w:rsidRDefault="008F675B" w:rsidP="008F675B">
      <w:pPr>
        <w:spacing w:before="1" w:line="285" w:lineRule="auto"/>
        <w:ind w:left="142" w:right="478"/>
        <w:jc w:val="both"/>
      </w:pPr>
      <w:r w:rsidRPr="00DC5A8A">
        <w:rPr>
          <w:color w:val="231F20"/>
          <w:w w:val="95"/>
        </w:rPr>
        <w:t xml:space="preserve">The CPI is formed by measuring the change in the cost of purchasing a basket of consumer </w:t>
      </w:r>
      <w:r w:rsidRPr="00DC5A8A">
        <w:rPr>
          <w:color w:val="231F20"/>
        </w:rPr>
        <w:t>goods and services where items in the basket are weighted according to their relative importance in the total spending of consumers. The baskets include food items (</w:t>
      </w:r>
      <w:proofErr w:type="gramStart"/>
      <w:r w:rsidRPr="00DC5A8A">
        <w:rPr>
          <w:color w:val="231F20"/>
        </w:rPr>
        <w:t>i.e.</w:t>
      </w:r>
      <w:proofErr w:type="gramEnd"/>
      <w:r w:rsidRPr="00DC5A8A">
        <w:rPr>
          <w:color w:val="231F20"/>
        </w:rPr>
        <w:t xml:space="preserve"> rice, other</w:t>
      </w:r>
      <w:r w:rsidRPr="00DC5A8A">
        <w:rPr>
          <w:color w:val="231F20"/>
          <w:spacing w:val="-6"/>
        </w:rPr>
        <w:t xml:space="preserve"> </w:t>
      </w:r>
      <w:r w:rsidRPr="00DC5A8A">
        <w:rPr>
          <w:color w:val="231F20"/>
        </w:rPr>
        <w:t>cereals,</w:t>
      </w:r>
      <w:r w:rsidRPr="00DC5A8A">
        <w:rPr>
          <w:color w:val="231F20"/>
          <w:spacing w:val="-6"/>
        </w:rPr>
        <w:t xml:space="preserve"> </w:t>
      </w:r>
      <w:r w:rsidRPr="00DC5A8A">
        <w:rPr>
          <w:color w:val="231F20"/>
        </w:rPr>
        <w:t>vegetables,</w:t>
      </w:r>
      <w:r w:rsidRPr="00DC5A8A">
        <w:rPr>
          <w:color w:val="231F20"/>
          <w:spacing w:val="-6"/>
        </w:rPr>
        <w:t xml:space="preserve"> </w:t>
      </w:r>
      <w:r w:rsidRPr="00DC5A8A">
        <w:rPr>
          <w:color w:val="231F20"/>
        </w:rPr>
        <w:t>oils</w:t>
      </w:r>
      <w:r w:rsidRPr="00DC5A8A">
        <w:rPr>
          <w:color w:val="231F20"/>
          <w:spacing w:val="-6"/>
        </w:rPr>
        <w:t xml:space="preserve"> </w:t>
      </w:r>
      <w:r w:rsidRPr="00DC5A8A">
        <w:rPr>
          <w:color w:val="231F20"/>
        </w:rPr>
        <w:t>and</w:t>
      </w:r>
      <w:r w:rsidRPr="00DC5A8A">
        <w:rPr>
          <w:color w:val="231F20"/>
          <w:spacing w:val="-6"/>
        </w:rPr>
        <w:t xml:space="preserve"> </w:t>
      </w:r>
      <w:r w:rsidRPr="00DC5A8A">
        <w:rPr>
          <w:color w:val="231F20"/>
        </w:rPr>
        <w:t>fats,</w:t>
      </w:r>
      <w:r w:rsidRPr="00DC5A8A">
        <w:rPr>
          <w:color w:val="231F20"/>
          <w:spacing w:val="-6"/>
        </w:rPr>
        <w:t xml:space="preserve"> </w:t>
      </w:r>
      <w:r w:rsidRPr="00DC5A8A">
        <w:rPr>
          <w:color w:val="231F20"/>
        </w:rPr>
        <w:t>and</w:t>
      </w:r>
      <w:r w:rsidRPr="00DC5A8A">
        <w:rPr>
          <w:color w:val="231F20"/>
          <w:spacing w:val="-6"/>
        </w:rPr>
        <w:t xml:space="preserve"> </w:t>
      </w:r>
      <w:r w:rsidRPr="00DC5A8A">
        <w:rPr>
          <w:color w:val="231F20"/>
        </w:rPr>
        <w:t>spices)</w:t>
      </w:r>
      <w:r w:rsidRPr="00DC5A8A">
        <w:rPr>
          <w:color w:val="231F20"/>
          <w:spacing w:val="-6"/>
        </w:rPr>
        <w:t xml:space="preserve"> </w:t>
      </w:r>
      <w:r w:rsidRPr="00DC5A8A">
        <w:rPr>
          <w:color w:val="231F20"/>
        </w:rPr>
        <w:t>together</w:t>
      </w:r>
      <w:r w:rsidRPr="00DC5A8A">
        <w:rPr>
          <w:color w:val="231F20"/>
          <w:spacing w:val="-6"/>
        </w:rPr>
        <w:t xml:space="preserve"> </w:t>
      </w:r>
      <w:r w:rsidRPr="00DC5A8A">
        <w:rPr>
          <w:color w:val="231F20"/>
        </w:rPr>
        <w:t>with</w:t>
      </w:r>
      <w:r w:rsidRPr="00DC5A8A">
        <w:rPr>
          <w:color w:val="231F20"/>
          <w:spacing w:val="-6"/>
        </w:rPr>
        <w:t xml:space="preserve"> </w:t>
      </w:r>
      <w:r w:rsidRPr="00DC5A8A">
        <w:rPr>
          <w:color w:val="231F20"/>
        </w:rPr>
        <w:t>non-food</w:t>
      </w:r>
      <w:r w:rsidRPr="00DC5A8A">
        <w:rPr>
          <w:color w:val="231F20"/>
          <w:spacing w:val="-6"/>
        </w:rPr>
        <w:t xml:space="preserve"> </w:t>
      </w:r>
      <w:r w:rsidRPr="00DC5A8A">
        <w:rPr>
          <w:color w:val="231F20"/>
        </w:rPr>
        <w:t>items</w:t>
      </w:r>
      <w:r w:rsidRPr="00DC5A8A">
        <w:rPr>
          <w:color w:val="231F20"/>
          <w:spacing w:val="-6"/>
        </w:rPr>
        <w:t xml:space="preserve"> </w:t>
      </w:r>
      <w:r w:rsidRPr="00DC5A8A">
        <w:rPr>
          <w:color w:val="231F20"/>
        </w:rPr>
        <w:t>such</w:t>
      </w:r>
      <w:r w:rsidRPr="00DC5A8A">
        <w:rPr>
          <w:color w:val="231F20"/>
          <w:spacing w:val="-6"/>
        </w:rPr>
        <w:t xml:space="preserve"> </w:t>
      </w:r>
      <w:r w:rsidRPr="00DC5A8A">
        <w:rPr>
          <w:color w:val="231F20"/>
        </w:rPr>
        <w:t>as clothing, fuel, furniture and other personal items. Items such as cereals are weighted more heavily than say furniture, because they represent a larger proportion of consumer expenditure.</w:t>
      </w:r>
      <w:r w:rsidRPr="00DC5A8A">
        <w:rPr>
          <w:color w:val="231F20"/>
          <w:spacing w:val="-5"/>
        </w:rPr>
        <w:t xml:space="preserve"> </w:t>
      </w:r>
      <w:r w:rsidRPr="00DC5A8A">
        <w:rPr>
          <w:color w:val="231F20"/>
        </w:rPr>
        <w:t>A</w:t>
      </w:r>
      <w:r w:rsidRPr="00DC5A8A">
        <w:rPr>
          <w:color w:val="231F20"/>
          <w:spacing w:val="-11"/>
        </w:rPr>
        <w:t xml:space="preserve"> </w:t>
      </w:r>
      <w:r w:rsidRPr="00DC5A8A">
        <w:rPr>
          <w:color w:val="231F20"/>
        </w:rPr>
        <w:t>price change in cereals will therefore have greater effect on the CPI than a price change for furniture.</w:t>
      </w:r>
    </w:p>
    <w:p w14:paraId="7938C5E7" w14:textId="77777777" w:rsidR="008F675B" w:rsidRPr="00DC5A8A" w:rsidRDefault="008F675B" w:rsidP="008F675B">
      <w:pPr>
        <w:spacing w:line="285" w:lineRule="auto"/>
        <w:ind w:left="142" w:right="478"/>
        <w:jc w:val="both"/>
      </w:pPr>
      <w:r w:rsidRPr="00DC5A8A">
        <w:rPr>
          <w:color w:val="231F20"/>
        </w:rPr>
        <w:t>Bhutan’s</w:t>
      </w:r>
      <w:r w:rsidRPr="00DC5A8A">
        <w:rPr>
          <w:color w:val="231F20"/>
          <w:spacing w:val="-4"/>
        </w:rPr>
        <w:t xml:space="preserve"> </w:t>
      </w:r>
      <w:r w:rsidRPr="00DC5A8A">
        <w:rPr>
          <w:color w:val="231F20"/>
        </w:rPr>
        <w:t>CPI</w:t>
      </w:r>
      <w:r w:rsidRPr="00DC5A8A">
        <w:rPr>
          <w:color w:val="231F20"/>
          <w:spacing w:val="-4"/>
        </w:rPr>
        <w:t xml:space="preserve"> </w:t>
      </w:r>
      <w:r w:rsidRPr="00DC5A8A">
        <w:rPr>
          <w:color w:val="231F20"/>
        </w:rPr>
        <w:t>had</w:t>
      </w:r>
      <w:r w:rsidRPr="00DC5A8A">
        <w:rPr>
          <w:color w:val="231F20"/>
          <w:spacing w:val="-4"/>
        </w:rPr>
        <w:t xml:space="preserve"> </w:t>
      </w:r>
      <w:r w:rsidRPr="00DC5A8A">
        <w:rPr>
          <w:color w:val="231F20"/>
        </w:rPr>
        <w:t>1979</w:t>
      </w:r>
      <w:r w:rsidRPr="00DC5A8A">
        <w:rPr>
          <w:color w:val="231F20"/>
          <w:spacing w:val="-4"/>
        </w:rPr>
        <w:t xml:space="preserve"> </w:t>
      </w:r>
      <w:r w:rsidRPr="00DC5A8A">
        <w:rPr>
          <w:color w:val="231F20"/>
        </w:rPr>
        <w:t>as</w:t>
      </w:r>
      <w:r w:rsidRPr="00DC5A8A">
        <w:rPr>
          <w:color w:val="231F20"/>
          <w:spacing w:val="-4"/>
        </w:rPr>
        <w:t xml:space="preserve"> </w:t>
      </w:r>
      <w:r w:rsidRPr="00DC5A8A">
        <w:rPr>
          <w:color w:val="231F20"/>
        </w:rPr>
        <w:t>base</w:t>
      </w:r>
      <w:r w:rsidRPr="00DC5A8A">
        <w:rPr>
          <w:color w:val="231F20"/>
          <w:spacing w:val="-4"/>
        </w:rPr>
        <w:t xml:space="preserve"> </w:t>
      </w:r>
      <w:r w:rsidRPr="00DC5A8A">
        <w:rPr>
          <w:color w:val="231F20"/>
        </w:rPr>
        <w:t>year.</w:t>
      </w:r>
      <w:r w:rsidRPr="00DC5A8A">
        <w:rPr>
          <w:color w:val="231F20"/>
          <w:spacing w:val="-4"/>
        </w:rPr>
        <w:t xml:space="preserve"> </w:t>
      </w:r>
      <w:r w:rsidRPr="00DC5A8A">
        <w:rPr>
          <w:color w:val="231F20"/>
        </w:rPr>
        <w:t>Undoubtedly,</w:t>
      </w:r>
      <w:r w:rsidRPr="00DC5A8A">
        <w:rPr>
          <w:color w:val="231F20"/>
          <w:spacing w:val="-4"/>
        </w:rPr>
        <w:t xml:space="preserve"> </w:t>
      </w:r>
      <w:r w:rsidRPr="00DC5A8A">
        <w:rPr>
          <w:color w:val="231F20"/>
        </w:rPr>
        <w:t>substantial</w:t>
      </w:r>
      <w:r w:rsidRPr="00DC5A8A">
        <w:rPr>
          <w:color w:val="231F20"/>
          <w:spacing w:val="-4"/>
        </w:rPr>
        <w:t xml:space="preserve"> </w:t>
      </w:r>
      <w:r w:rsidRPr="00DC5A8A">
        <w:rPr>
          <w:color w:val="231F20"/>
        </w:rPr>
        <w:t>changes</w:t>
      </w:r>
      <w:r w:rsidRPr="00DC5A8A">
        <w:rPr>
          <w:color w:val="231F20"/>
          <w:spacing w:val="-4"/>
        </w:rPr>
        <w:t xml:space="preserve"> </w:t>
      </w:r>
      <w:r w:rsidRPr="00DC5A8A">
        <w:rPr>
          <w:color w:val="231F20"/>
        </w:rPr>
        <w:t>had</w:t>
      </w:r>
      <w:r w:rsidRPr="00DC5A8A">
        <w:rPr>
          <w:color w:val="231F20"/>
          <w:spacing w:val="-4"/>
        </w:rPr>
        <w:t xml:space="preserve"> </w:t>
      </w:r>
      <w:r w:rsidRPr="00DC5A8A">
        <w:rPr>
          <w:color w:val="231F20"/>
        </w:rPr>
        <w:t>taken</w:t>
      </w:r>
      <w:r w:rsidRPr="00DC5A8A">
        <w:rPr>
          <w:color w:val="231F20"/>
          <w:spacing w:val="-4"/>
        </w:rPr>
        <w:t xml:space="preserve"> </w:t>
      </w:r>
      <w:r w:rsidRPr="00DC5A8A">
        <w:rPr>
          <w:color w:val="231F20"/>
        </w:rPr>
        <w:t>place since then – economically, socially and technologically. A number of new products had likewise emerged. These factors contributed to the change in households’ tastes and preferences thereby causing the fixed market basket of goods and services to become outmoded. To capture such changes for a more meaningful price comparison, it was necessary</w:t>
      </w:r>
      <w:r w:rsidRPr="00DC5A8A">
        <w:rPr>
          <w:color w:val="231F20"/>
          <w:spacing w:val="-14"/>
        </w:rPr>
        <w:t xml:space="preserve"> </w:t>
      </w:r>
      <w:r w:rsidRPr="00DC5A8A">
        <w:rPr>
          <w:color w:val="231F20"/>
        </w:rPr>
        <w:t>to</w:t>
      </w:r>
      <w:r w:rsidRPr="00DC5A8A">
        <w:rPr>
          <w:color w:val="231F20"/>
          <w:spacing w:val="-10"/>
        </w:rPr>
        <w:t xml:space="preserve"> </w:t>
      </w:r>
      <w:r w:rsidRPr="00DC5A8A">
        <w:rPr>
          <w:color w:val="231F20"/>
        </w:rPr>
        <w:t>re</w:t>
      </w:r>
      <w:r w:rsidRPr="00DC5A8A">
        <w:rPr>
          <w:color w:val="231F20"/>
          <w:spacing w:val="-10"/>
        </w:rPr>
        <w:t xml:space="preserve"> </w:t>
      </w:r>
      <w:r w:rsidRPr="00DC5A8A">
        <w:rPr>
          <w:color w:val="231F20"/>
        </w:rPr>
        <w:t>-</w:t>
      </w:r>
      <w:r w:rsidRPr="00DC5A8A">
        <w:rPr>
          <w:color w:val="231F20"/>
          <w:spacing w:val="-10"/>
        </w:rPr>
        <w:t xml:space="preserve"> </w:t>
      </w:r>
      <w:r w:rsidRPr="00DC5A8A">
        <w:rPr>
          <w:color w:val="231F20"/>
        </w:rPr>
        <w:t>base</w:t>
      </w:r>
      <w:r w:rsidRPr="00DC5A8A">
        <w:rPr>
          <w:color w:val="231F20"/>
          <w:spacing w:val="-10"/>
        </w:rPr>
        <w:t xml:space="preserve"> </w:t>
      </w:r>
      <w:r w:rsidRPr="00DC5A8A">
        <w:rPr>
          <w:color w:val="231F20"/>
        </w:rPr>
        <w:t>the</w:t>
      </w:r>
      <w:r w:rsidRPr="00DC5A8A">
        <w:rPr>
          <w:color w:val="231F20"/>
          <w:spacing w:val="-10"/>
        </w:rPr>
        <w:t xml:space="preserve"> </w:t>
      </w:r>
      <w:r w:rsidRPr="00DC5A8A">
        <w:rPr>
          <w:color w:val="231F20"/>
        </w:rPr>
        <w:t>CPI.</w:t>
      </w:r>
      <w:r w:rsidRPr="00DC5A8A">
        <w:rPr>
          <w:color w:val="231F20"/>
          <w:spacing w:val="-16"/>
        </w:rPr>
        <w:t xml:space="preserve"> </w:t>
      </w:r>
      <w:r w:rsidRPr="00DC5A8A">
        <w:rPr>
          <w:color w:val="231F20"/>
        </w:rPr>
        <w:t>This</w:t>
      </w:r>
      <w:r w:rsidRPr="00DC5A8A">
        <w:rPr>
          <w:color w:val="231F20"/>
          <w:spacing w:val="-9"/>
        </w:rPr>
        <w:t xml:space="preserve"> </w:t>
      </w:r>
      <w:r w:rsidRPr="00DC5A8A">
        <w:rPr>
          <w:color w:val="231F20"/>
        </w:rPr>
        <w:t>entailed</w:t>
      </w:r>
      <w:r w:rsidRPr="00DC5A8A">
        <w:rPr>
          <w:color w:val="231F20"/>
          <w:spacing w:val="-10"/>
        </w:rPr>
        <w:t xml:space="preserve"> </w:t>
      </w:r>
      <w:r w:rsidRPr="00DC5A8A">
        <w:rPr>
          <w:color w:val="231F20"/>
        </w:rPr>
        <w:t>the</w:t>
      </w:r>
      <w:r w:rsidRPr="00DC5A8A">
        <w:rPr>
          <w:color w:val="231F20"/>
          <w:spacing w:val="-10"/>
        </w:rPr>
        <w:t xml:space="preserve"> </w:t>
      </w:r>
      <w:r w:rsidRPr="00DC5A8A">
        <w:rPr>
          <w:color w:val="231F20"/>
        </w:rPr>
        <w:t>revision</w:t>
      </w:r>
      <w:r w:rsidRPr="00DC5A8A">
        <w:rPr>
          <w:color w:val="231F20"/>
          <w:spacing w:val="-10"/>
        </w:rPr>
        <w:t xml:space="preserve"> </w:t>
      </w:r>
      <w:r w:rsidRPr="00DC5A8A">
        <w:rPr>
          <w:color w:val="231F20"/>
        </w:rPr>
        <w:t>of</w:t>
      </w:r>
      <w:r w:rsidRPr="00DC5A8A">
        <w:rPr>
          <w:color w:val="231F20"/>
          <w:spacing w:val="-10"/>
        </w:rPr>
        <w:t xml:space="preserve"> </w:t>
      </w:r>
      <w:r w:rsidRPr="00DC5A8A">
        <w:rPr>
          <w:color w:val="231F20"/>
        </w:rPr>
        <w:t>or</w:t>
      </w:r>
      <w:r w:rsidRPr="00DC5A8A">
        <w:rPr>
          <w:color w:val="231F20"/>
          <w:spacing w:val="-10"/>
        </w:rPr>
        <w:t xml:space="preserve"> </w:t>
      </w:r>
      <w:r w:rsidRPr="00DC5A8A">
        <w:rPr>
          <w:color w:val="231F20"/>
        </w:rPr>
        <w:t>updating</w:t>
      </w:r>
      <w:r w:rsidRPr="00DC5A8A">
        <w:rPr>
          <w:color w:val="231F20"/>
          <w:spacing w:val="-10"/>
        </w:rPr>
        <w:t xml:space="preserve"> </w:t>
      </w:r>
      <w:r w:rsidRPr="00DC5A8A">
        <w:rPr>
          <w:color w:val="231F20"/>
        </w:rPr>
        <w:t>the</w:t>
      </w:r>
      <w:r w:rsidRPr="00DC5A8A">
        <w:rPr>
          <w:color w:val="231F20"/>
          <w:spacing w:val="-10"/>
        </w:rPr>
        <w:t xml:space="preserve"> </w:t>
      </w:r>
      <w:r w:rsidRPr="00DC5A8A">
        <w:rPr>
          <w:color w:val="231F20"/>
        </w:rPr>
        <w:t>base</w:t>
      </w:r>
      <w:r w:rsidRPr="00DC5A8A">
        <w:rPr>
          <w:color w:val="231F20"/>
          <w:spacing w:val="-10"/>
        </w:rPr>
        <w:t xml:space="preserve"> </w:t>
      </w:r>
      <w:r w:rsidRPr="00DC5A8A">
        <w:rPr>
          <w:color w:val="231F20"/>
        </w:rPr>
        <w:t>year,</w:t>
      </w:r>
      <w:r w:rsidRPr="00DC5A8A">
        <w:rPr>
          <w:color w:val="231F20"/>
          <w:spacing w:val="-10"/>
        </w:rPr>
        <w:t xml:space="preserve"> </w:t>
      </w:r>
      <w:r w:rsidRPr="00DC5A8A">
        <w:rPr>
          <w:color w:val="231F20"/>
        </w:rPr>
        <w:t>the weights, the fixed market basket and the sample outlets.</w:t>
      </w:r>
    </w:p>
    <w:p w14:paraId="120D266F" w14:textId="77777777" w:rsidR="008F675B" w:rsidRPr="00DC5A8A" w:rsidRDefault="008F675B" w:rsidP="008F675B">
      <w:pPr>
        <w:spacing w:line="285" w:lineRule="auto"/>
        <w:ind w:left="142" w:right="478"/>
        <w:jc w:val="both"/>
      </w:pPr>
      <w:r w:rsidRPr="00DC5A8A">
        <w:rPr>
          <w:color w:val="231F20"/>
        </w:rPr>
        <w:t>The year 2003 is chosen as the new base year since it was the year when the Bhutan Living Standard Survey was conducted. The Household Income Expenditure Survey or Living Standard Survey is the usual source of weights and the basis for drawing up the market basket.</w:t>
      </w:r>
    </w:p>
    <w:p w14:paraId="1D881903" w14:textId="77777777" w:rsidR="008F675B" w:rsidRPr="00DC5A8A" w:rsidRDefault="008F675B" w:rsidP="008F675B">
      <w:pPr>
        <w:spacing w:line="285" w:lineRule="auto"/>
        <w:ind w:left="142" w:right="479"/>
        <w:jc w:val="both"/>
      </w:pPr>
      <w:r w:rsidRPr="00DC5A8A">
        <w:rPr>
          <w:color w:val="231F20"/>
        </w:rPr>
        <w:t>The CPI is presented as Index Numbers, where the indices are measured in relative to the</w:t>
      </w:r>
      <w:r w:rsidRPr="00DC5A8A">
        <w:rPr>
          <w:color w:val="231F20"/>
          <w:spacing w:val="-9"/>
        </w:rPr>
        <w:t xml:space="preserve"> </w:t>
      </w:r>
      <w:r w:rsidRPr="00DC5A8A">
        <w:rPr>
          <w:color w:val="231F20"/>
        </w:rPr>
        <w:t>base</w:t>
      </w:r>
      <w:r w:rsidRPr="00DC5A8A">
        <w:rPr>
          <w:color w:val="231F20"/>
          <w:spacing w:val="-9"/>
        </w:rPr>
        <w:t xml:space="preserve"> </w:t>
      </w:r>
      <w:r w:rsidRPr="00DC5A8A">
        <w:rPr>
          <w:color w:val="231F20"/>
        </w:rPr>
        <w:t>of</w:t>
      </w:r>
      <w:r w:rsidRPr="00DC5A8A">
        <w:rPr>
          <w:color w:val="231F20"/>
          <w:spacing w:val="-9"/>
        </w:rPr>
        <w:t xml:space="preserve"> </w:t>
      </w:r>
      <w:r w:rsidRPr="00DC5A8A">
        <w:rPr>
          <w:color w:val="231F20"/>
        </w:rPr>
        <w:t>3rd</w:t>
      </w:r>
      <w:r w:rsidRPr="00DC5A8A">
        <w:rPr>
          <w:color w:val="231F20"/>
          <w:spacing w:val="-9"/>
        </w:rPr>
        <w:t xml:space="preserve"> </w:t>
      </w:r>
      <w:r w:rsidRPr="00DC5A8A">
        <w:rPr>
          <w:color w:val="231F20"/>
        </w:rPr>
        <w:t>quarter</w:t>
      </w:r>
      <w:r w:rsidRPr="00DC5A8A">
        <w:rPr>
          <w:color w:val="231F20"/>
          <w:spacing w:val="-9"/>
        </w:rPr>
        <w:t xml:space="preserve"> </w:t>
      </w:r>
      <w:r w:rsidRPr="00DC5A8A">
        <w:rPr>
          <w:color w:val="231F20"/>
        </w:rPr>
        <w:t>2003</w:t>
      </w:r>
      <w:r w:rsidRPr="00DC5A8A">
        <w:rPr>
          <w:color w:val="231F20"/>
          <w:spacing w:val="-9"/>
        </w:rPr>
        <w:t xml:space="preserve"> </w:t>
      </w:r>
      <w:r w:rsidRPr="00DC5A8A">
        <w:rPr>
          <w:color w:val="231F20"/>
        </w:rPr>
        <w:t>=</w:t>
      </w:r>
      <w:r w:rsidRPr="00DC5A8A">
        <w:rPr>
          <w:color w:val="231F20"/>
          <w:spacing w:val="-9"/>
        </w:rPr>
        <w:t xml:space="preserve"> </w:t>
      </w:r>
      <w:r w:rsidRPr="00DC5A8A">
        <w:rPr>
          <w:color w:val="231F20"/>
        </w:rPr>
        <w:t>100.00;</w:t>
      </w:r>
      <w:r w:rsidRPr="00DC5A8A">
        <w:rPr>
          <w:color w:val="231F20"/>
          <w:spacing w:val="-9"/>
        </w:rPr>
        <w:t xml:space="preserve"> </w:t>
      </w:r>
      <w:r w:rsidRPr="00DC5A8A">
        <w:rPr>
          <w:color w:val="231F20"/>
        </w:rPr>
        <w:t>price</w:t>
      </w:r>
      <w:r w:rsidRPr="00DC5A8A">
        <w:rPr>
          <w:color w:val="231F20"/>
          <w:spacing w:val="-9"/>
        </w:rPr>
        <w:t xml:space="preserve"> </w:t>
      </w:r>
      <w:r w:rsidRPr="00DC5A8A">
        <w:rPr>
          <w:color w:val="231F20"/>
        </w:rPr>
        <w:t>change</w:t>
      </w:r>
      <w:r w:rsidRPr="00DC5A8A">
        <w:rPr>
          <w:color w:val="231F20"/>
          <w:spacing w:val="-9"/>
        </w:rPr>
        <w:t xml:space="preserve"> </w:t>
      </w:r>
      <w:r w:rsidRPr="00DC5A8A">
        <w:rPr>
          <w:color w:val="231F20"/>
        </w:rPr>
        <w:t>is</w:t>
      </w:r>
      <w:r w:rsidRPr="00DC5A8A">
        <w:rPr>
          <w:color w:val="231F20"/>
          <w:spacing w:val="-9"/>
        </w:rPr>
        <w:t xml:space="preserve"> </w:t>
      </w:r>
      <w:r w:rsidRPr="00DC5A8A">
        <w:rPr>
          <w:color w:val="231F20"/>
        </w:rPr>
        <w:t>estimated</w:t>
      </w:r>
      <w:r w:rsidRPr="00DC5A8A">
        <w:rPr>
          <w:color w:val="231F20"/>
          <w:spacing w:val="-9"/>
        </w:rPr>
        <w:t xml:space="preserve"> </w:t>
      </w:r>
      <w:r w:rsidRPr="00DC5A8A">
        <w:rPr>
          <w:color w:val="231F20"/>
        </w:rPr>
        <w:t>by</w:t>
      </w:r>
      <w:r w:rsidRPr="00DC5A8A">
        <w:rPr>
          <w:color w:val="231F20"/>
          <w:spacing w:val="-9"/>
        </w:rPr>
        <w:t xml:space="preserve"> </w:t>
      </w:r>
      <w:r w:rsidRPr="00DC5A8A">
        <w:rPr>
          <w:color w:val="231F20"/>
        </w:rPr>
        <w:t>measuring</w:t>
      </w:r>
      <w:r w:rsidRPr="00DC5A8A">
        <w:rPr>
          <w:color w:val="231F20"/>
          <w:spacing w:val="-9"/>
        </w:rPr>
        <w:t xml:space="preserve"> </w:t>
      </w:r>
      <w:r w:rsidRPr="00DC5A8A">
        <w:rPr>
          <w:color w:val="231F20"/>
        </w:rPr>
        <w:t>change</w:t>
      </w:r>
      <w:r w:rsidRPr="00DC5A8A">
        <w:rPr>
          <w:color w:val="231F20"/>
          <w:spacing w:val="-9"/>
        </w:rPr>
        <w:t xml:space="preserve"> </w:t>
      </w:r>
      <w:r w:rsidRPr="00DC5A8A">
        <w:rPr>
          <w:color w:val="231F20"/>
        </w:rPr>
        <w:t>in the Index numbers.</w:t>
      </w:r>
    </w:p>
    <w:p w14:paraId="6077AAED" w14:textId="77777777" w:rsidR="00EF6224" w:rsidRDefault="00EF6224"/>
    <w:sectPr w:rsidR="00EF62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675B"/>
    <w:rsid w:val="008F675B"/>
    <w:rsid w:val="00EF62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36925"/>
  <w15:chartTrackingRefBased/>
  <w15:docId w15:val="{27335E79-B9AF-4256-A7CC-31954A6F2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75B"/>
    <w:rPr>
      <w:sz w:val="20"/>
      <w:szCs w:val="32"/>
      <w:lang w:bidi="bo-CN"/>
    </w:rPr>
  </w:style>
  <w:style w:type="paragraph" w:styleId="Heading1">
    <w:name w:val="heading 1"/>
    <w:next w:val="Normal"/>
    <w:link w:val="Heading1Char"/>
    <w:uiPriority w:val="1"/>
    <w:qFormat/>
    <w:rsid w:val="008F675B"/>
    <w:pPr>
      <w:keepNext/>
      <w:keepLines/>
      <w:spacing w:after="3" w:line="248" w:lineRule="auto"/>
      <w:ind w:left="287" w:hanging="10"/>
      <w:jc w:val="center"/>
      <w:outlineLvl w:val="0"/>
    </w:pPr>
    <w:rPr>
      <w:rFonts w:ascii="Verdana" w:eastAsia="Verdana" w:hAnsi="Verdana" w:cs="Verdana"/>
      <w:b/>
      <w:color w:val="221F1F"/>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F675B"/>
    <w:rPr>
      <w:rFonts w:ascii="Verdana" w:eastAsia="Verdana" w:hAnsi="Verdana" w:cs="Verdana"/>
      <w:b/>
      <w:color w:val="221F1F"/>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340</Words>
  <Characters>1944</Characters>
  <Application>Microsoft Office Word</Application>
  <DocSecurity>0</DocSecurity>
  <Lines>16</Lines>
  <Paragraphs>4</Paragraphs>
  <ScaleCrop>false</ScaleCrop>
  <Company/>
  <LinksUpToDate>false</LinksUpToDate>
  <CharactersWithSpaces>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Tandin Dorji</dc:creator>
  <cp:keywords/>
  <dc:description/>
  <cp:lastModifiedBy>Tandin Dorji</cp:lastModifiedBy>
  <cp:revision>1</cp:revision>
  <dcterms:created xsi:type="dcterms:W3CDTF">2022-08-16T10:04:00Z</dcterms:created>
  <dcterms:modified xsi:type="dcterms:W3CDTF">2022-08-16T10:04:00Z</dcterms:modified>
</cp:coreProperties>
</file>