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A03" w:rsidRPr="000A6A03" w:rsidRDefault="000A6A03" w:rsidP="000A6A03">
      <w:pPr>
        <w:pStyle w:val="BasicParagraph"/>
        <w:spacing w:before="113"/>
        <w:ind w:left="360" w:hanging="360"/>
        <w:jc w:val="both"/>
        <w:rPr>
          <w:b/>
        </w:rPr>
      </w:pPr>
      <w:r w:rsidRPr="000A6A03">
        <w:rPr>
          <w:b/>
        </w:rPr>
        <w:t>Notes for Users</w:t>
      </w:r>
      <w:bookmarkStart w:id="0" w:name="_GoBack"/>
      <w:bookmarkEnd w:id="0"/>
    </w:p>
    <w:p w:rsidR="000A6A03" w:rsidRDefault="000A6A03" w:rsidP="000A6A03">
      <w:pPr>
        <w:pStyle w:val="BasicParagraph"/>
        <w:numPr>
          <w:ilvl w:val="0"/>
          <w:numId w:val="1"/>
        </w:numPr>
        <w:spacing w:before="113"/>
        <w:jc w:val="both"/>
      </w:pPr>
      <w:r>
        <w:t>Unless otherwise indicated, the present issue of the Yearbook contains statistics available as of December 2013.</w:t>
      </w:r>
    </w:p>
    <w:p w:rsidR="000A6A03" w:rsidRDefault="000A6A03" w:rsidP="000A6A03">
      <w:pPr>
        <w:pStyle w:val="BasicParagraph"/>
        <w:numPr>
          <w:ilvl w:val="0"/>
          <w:numId w:val="1"/>
        </w:numPr>
        <w:spacing w:before="113"/>
        <w:jc w:val="both"/>
      </w:pPr>
      <w:r>
        <w:t>For some tables, there are footnotes indicating information specific to each figure in the table.</w:t>
      </w:r>
    </w:p>
    <w:p w:rsidR="000A6A03" w:rsidRDefault="000A6A03" w:rsidP="000A6A03">
      <w:pPr>
        <w:pStyle w:val="BasicParagraph"/>
        <w:numPr>
          <w:ilvl w:val="0"/>
          <w:numId w:val="1"/>
        </w:numPr>
        <w:spacing w:before="113"/>
        <w:jc w:val="both"/>
      </w:pPr>
      <w:r>
        <w:t>The following notations are used in the tables:</w:t>
      </w:r>
    </w:p>
    <w:p w:rsidR="000A6A03" w:rsidRDefault="000A6A03" w:rsidP="000A6A03">
      <w:pPr>
        <w:pStyle w:val="SymbolStyle"/>
        <w:spacing w:before="283"/>
        <w:ind w:left="720" w:firstLine="0"/>
        <w:jc w:val="both"/>
      </w:pPr>
      <w:r>
        <w:rPr>
          <w:b/>
          <w:bCs/>
        </w:rPr>
        <w:t>…</w:t>
      </w:r>
      <w:r>
        <w:tab/>
      </w:r>
      <w:r>
        <w:t xml:space="preserve"> </w:t>
      </w:r>
      <w:r>
        <w:tab/>
      </w:r>
      <w:proofErr w:type="gramStart"/>
      <w:r>
        <w:t>not</w:t>
      </w:r>
      <w:proofErr w:type="gramEnd"/>
      <w:r>
        <w:t xml:space="preserve"> available/ not applicable</w:t>
      </w:r>
    </w:p>
    <w:p w:rsidR="000A6A03" w:rsidRDefault="000A6A03" w:rsidP="000A6A03">
      <w:pPr>
        <w:pStyle w:val="SymbolStyle"/>
        <w:ind w:left="720" w:firstLine="0"/>
        <w:jc w:val="both"/>
      </w:pPr>
      <w:r>
        <w:rPr>
          <w:b/>
          <w:bCs/>
        </w:rPr>
        <w:t>( )</w:t>
      </w:r>
      <w:r>
        <w:tab/>
      </w:r>
      <w:r>
        <w:t xml:space="preserve"> </w:t>
      </w:r>
      <w:r>
        <w:tab/>
        <w:t xml:space="preserve"> </w:t>
      </w:r>
      <w:r>
        <w:t>negative figures</w:t>
      </w:r>
    </w:p>
    <w:p w:rsidR="000A6A03" w:rsidRDefault="000A6A03" w:rsidP="000A6A03">
      <w:pPr>
        <w:pStyle w:val="SymbolStyle"/>
        <w:ind w:left="720" w:firstLine="0"/>
        <w:jc w:val="both"/>
      </w:pPr>
      <w:r>
        <w:rPr>
          <w:rFonts w:ascii="Minion Pro Cond" w:hAnsi="Minion Pro Cond" w:cs="Minion Pro Cond"/>
          <w:b/>
          <w:bCs/>
        </w:rPr>
        <w:t>CY</w:t>
      </w:r>
      <w:r>
        <w:rPr>
          <w:rFonts w:ascii="Minion Pro Cond" w:hAnsi="Minion Pro Cond" w:cs="Minion Pro Cond"/>
          <w:b/>
          <w:bCs/>
        </w:rPr>
        <w:t xml:space="preserve"> </w:t>
      </w:r>
      <w:r>
        <w:tab/>
        <w:t>calendar year (from January to December)</w:t>
      </w:r>
    </w:p>
    <w:p w:rsidR="000A6A03" w:rsidRDefault="000A6A03" w:rsidP="000A6A03">
      <w:pPr>
        <w:pStyle w:val="SymbolStyle"/>
        <w:ind w:left="720" w:firstLine="0"/>
        <w:jc w:val="both"/>
      </w:pPr>
      <w:r>
        <w:rPr>
          <w:b/>
          <w:bCs/>
        </w:rPr>
        <w:t>FY</w:t>
      </w:r>
      <w:r>
        <w:rPr>
          <w:b/>
          <w:bCs/>
        </w:rPr>
        <w:t xml:space="preserve"> </w:t>
      </w:r>
      <w:r>
        <w:tab/>
        <w:t>fiscal year (from July to June, example: 2012/13)</w:t>
      </w:r>
    </w:p>
    <w:p w:rsidR="000A6A03" w:rsidRDefault="000A6A03" w:rsidP="000A6A03">
      <w:pPr>
        <w:pStyle w:val="BasicParagraph"/>
        <w:numPr>
          <w:ilvl w:val="0"/>
          <w:numId w:val="1"/>
        </w:numPr>
        <w:spacing w:before="283"/>
        <w:jc w:val="both"/>
      </w:pPr>
      <w:r>
        <w:t>Figures may not add up to the totals due to rounding.</w:t>
      </w:r>
    </w:p>
    <w:p w:rsidR="000A6A03" w:rsidRDefault="000A6A03" w:rsidP="000A6A03">
      <w:pPr>
        <w:pStyle w:val="BasicParagraph"/>
        <w:numPr>
          <w:ilvl w:val="0"/>
          <w:numId w:val="1"/>
        </w:numPr>
        <w:spacing w:before="283"/>
        <w:jc w:val="both"/>
      </w:pPr>
      <w:r>
        <w:t>Some figures, particularly those for the most recent time periods, are provisional and may be subject to revision in later issues.</w:t>
      </w:r>
    </w:p>
    <w:p w:rsidR="00A9198A" w:rsidRPr="000A6A03" w:rsidRDefault="000A6A03" w:rsidP="000A6A03">
      <w:pPr>
        <w:pStyle w:val="ListParagraph"/>
        <w:numPr>
          <w:ilvl w:val="0"/>
          <w:numId w:val="1"/>
        </w:numPr>
        <w:rPr>
          <w:rFonts w:ascii="Minion Pro" w:hAnsi="Minion Pro" w:cs="Minion Pro"/>
          <w:color w:val="000000"/>
          <w:sz w:val="24"/>
          <w:szCs w:val="24"/>
          <w:lang w:val="en-GB"/>
        </w:rPr>
      </w:pPr>
      <w:r w:rsidRPr="000A6A03">
        <w:rPr>
          <w:rFonts w:ascii="Minion Pro" w:hAnsi="Minion Pro" w:cs="Minion Pro"/>
          <w:color w:val="000000"/>
          <w:sz w:val="24"/>
          <w:szCs w:val="24"/>
          <w:lang w:val="en-GB"/>
        </w:rPr>
        <w:t>Values are shown in Ngultrum (unless otherwise stated).</w:t>
      </w:r>
    </w:p>
    <w:sectPr w:rsidR="00A9198A" w:rsidRPr="000A6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ion Pro Con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C38C6"/>
    <w:multiLevelType w:val="hybridMultilevel"/>
    <w:tmpl w:val="87FA2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A03"/>
    <w:rsid w:val="000A6A03"/>
    <w:rsid w:val="00A9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8096E2-29D4-424E-9658-AB22EDE7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A6A0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ymbolStyle">
    <w:name w:val="Symbol Style"/>
    <w:basedOn w:val="Normal"/>
    <w:uiPriority w:val="99"/>
    <w:rsid w:val="000A6A03"/>
    <w:pPr>
      <w:tabs>
        <w:tab w:val="left" w:pos="1020"/>
      </w:tabs>
      <w:autoSpaceDE w:val="0"/>
      <w:autoSpaceDN w:val="0"/>
      <w:adjustRightInd w:val="0"/>
      <w:spacing w:before="113" w:after="0" w:line="288" w:lineRule="auto"/>
      <w:ind w:left="500" w:hanging="120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0A6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NTSW</dc:creator>
  <cp:keywords/>
  <dc:description/>
  <cp:lastModifiedBy>NTSW</cp:lastModifiedBy>
  <cp:revision>1</cp:revision>
  <dcterms:created xsi:type="dcterms:W3CDTF">2014-09-29T13:17:00Z</dcterms:created>
  <dcterms:modified xsi:type="dcterms:W3CDTF">2014-09-29T13:18:00Z</dcterms:modified>
</cp:coreProperties>
</file>