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C34372" w:rsidRDefault="00D2511C" w:rsidP="00D2511C">
      <w:pPr>
        <w:tabs>
          <w:tab w:val="left" w:pos="7200"/>
          <w:tab w:val="left" w:pos="8640"/>
        </w:tabs>
        <w:spacing w:line="276" w:lineRule="auto"/>
        <w:jc w:val="center"/>
        <w:rPr>
          <w:rFonts w:ascii="Sylfaen" w:hAnsi="Sylfaen"/>
          <w:color w:val="5B9BD5" w:themeColor="accent1"/>
          <w:sz w:val="23"/>
          <w:szCs w:val="23"/>
        </w:rPr>
      </w:pPr>
      <w:r w:rsidRPr="00C34372">
        <w:rPr>
          <w:rFonts w:ascii="Sylfaen" w:hAnsi="Sylfaen"/>
          <w:color w:val="5B9BD5" w:themeColor="accent1"/>
          <w:sz w:val="23"/>
          <w:szCs w:val="23"/>
        </w:rPr>
        <w:t>CHAPTER 2</w:t>
      </w:r>
    </w:p>
    <w:p w:rsidR="00D2511C" w:rsidRPr="00C34372"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C34372">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107CB0" w:rsidP="00FB0707">
      <w:pPr>
        <w:tabs>
          <w:tab w:val="left" w:pos="7200"/>
          <w:tab w:val="left" w:pos="8640"/>
        </w:tabs>
        <w:spacing w:line="276" w:lineRule="auto"/>
        <w:ind w:left="1170"/>
        <w:rPr>
          <w:rFonts w:ascii="Sylfaen" w:hAnsi="Sylfaen"/>
          <w:color w:val="0070C0"/>
          <w:sz w:val="23"/>
          <w:szCs w:val="23"/>
        </w:rPr>
      </w:pPr>
      <w:r w:rsidRPr="00107CB0">
        <w:rPr>
          <w:rFonts w:ascii="Sylfaen" w:hAnsi="Sylfaen"/>
          <w:color w:val="0070C0"/>
          <w:sz w:val="23"/>
          <w:szCs w:val="23"/>
        </w:rPr>
        <w:lastRenderedPageBreak/>
        <w:drawing>
          <wp:inline distT="0" distB="0" distL="0" distR="0">
            <wp:extent cx="4724400" cy="29622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D2511C" w:rsidRDefault="00D2511C" w:rsidP="007B0203">
      <w:pPr>
        <w:tabs>
          <w:tab w:val="left" w:pos="7200"/>
          <w:tab w:val="left" w:pos="8640"/>
        </w:tabs>
        <w:spacing w:line="276" w:lineRule="auto"/>
        <w:rPr>
          <w:rFonts w:ascii="Sylfaen" w:hAnsi="Sylfaen"/>
          <w:color w:val="0070C0"/>
          <w:sz w:val="23"/>
          <w:szCs w:val="23"/>
        </w:rPr>
      </w:pPr>
    </w:p>
    <w:p w:rsidR="00221E56" w:rsidRDefault="00221E56">
      <w:bookmarkStart w:id="0" w:name="_GoBack"/>
      <w:bookmarkEnd w:id="0"/>
    </w:p>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107CB0"/>
    <w:rsid w:val="00113C97"/>
    <w:rsid w:val="00123C0D"/>
    <w:rsid w:val="00221E56"/>
    <w:rsid w:val="00304D91"/>
    <w:rsid w:val="00672741"/>
    <w:rsid w:val="006D6428"/>
    <w:rsid w:val="00780DFC"/>
    <w:rsid w:val="007B0203"/>
    <w:rsid w:val="00820443"/>
    <w:rsid w:val="00837F4D"/>
    <w:rsid w:val="008B0468"/>
    <w:rsid w:val="009F7392"/>
    <w:rsid w:val="00B404A1"/>
    <w:rsid w:val="00C34372"/>
    <w:rsid w:val="00C842B7"/>
    <w:rsid w:val="00D2511C"/>
    <w:rsid w:val="00E56AC3"/>
    <w:rsid w:val="00FA1283"/>
    <w:rsid w:val="00FB0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BackUp%2013-06-2011\PUBLICATION\STATISTICAL%20YEAR%20BOOK\SYB%202016\SYB%202016%20(Data%20entry%20format)\Writeups\Graphs%20(DPhunso%20p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18"/>
  <c:chart>
    <c:title>
      <c:tx>
        <c:rich>
          <a:bodyPr/>
          <a:lstStyle/>
          <a:p>
            <a:pPr>
              <a:defRPr sz="1000"/>
            </a:pPr>
            <a:r>
              <a:rPr lang="en-US" sz="1000"/>
              <a:t>Health Facilities and Personnel</a:t>
            </a:r>
          </a:p>
        </c:rich>
      </c:tx>
      <c:layout>
        <c:manualLayout>
          <c:xMode val="edge"/>
          <c:yMode val="edge"/>
          <c:x val="0.42082239720035058"/>
          <c:y val="3.4833180438557557E-2"/>
        </c:manualLayout>
      </c:layout>
    </c:title>
    <c:plotArea>
      <c:layout>
        <c:manualLayout>
          <c:layoutTarget val="inner"/>
          <c:xMode val="edge"/>
          <c:yMode val="edge"/>
          <c:x val="0.25544936784862682"/>
          <c:y val="0.12367722749346466"/>
          <c:w val="0.68620211689225086"/>
          <c:h val="0.74458902857275333"/>
        </c:manualLayout>
      </c:layout>
      <c:barChart>
        <c:barDir val="bar"/>
        <c:grouping val="clustered"/>
        <c:ser>
          <c:idx val="0"/>
          <c:order val="0"/>
          <c:tx>
            <c:strRef>
              <c:f>Health!$B$3</c:f>
              <c:strCache>
                <c:ptCount val="1"/>
                <c:pt idx="0">
                  <c:v>2011</c:v>
                </c:pt>
              </c:strCache>
            </c:strRef>
          </c:tx>
          <c:dLbls>
            <c:txPr>
              <a:bodyPr/>
              <a:lstStyle/>
              <a:p>
                <a:pPr>
                  <a:defRPr sz="80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Health!$B$4:$B$14</c:f>
              <c:numCache>
                <c:formatCode>#,##0_);\(#,##0\)</c:formatCode>
                <c:ptCount val="11"/>
                <c:pt idx="0">
                  <c:v>31</c:v>
                </c:pt>
                <c:pt idx="1">
                  <c:v>184</c:v>
                </c:pt>
                <c:pt idx="2">
                  <c:v>517</c:v>
                </c:pt>
                <c:pt idx="3">
                  <c:v>46</c:v>
                </c:pt>
                <c:pt idx="4">
                  <c:v>181</c:v>
                </c:pt>
                <c:pt idx="5">
                  <c:v>41</c:v>
                </c:pt>
                <c:pt idx="6">
                  <c:v>723</c:v>
                </c:pt>
                <c:pt idx="7">
                  <c:v>408</c:v>
                </c:pt>
                <c:pt idx="8">
                  <c:v>164</c:v>
                </c:pt>
                <c:pt idx="9">
                  <c:v>38</c:v>
                </c:pt>
                <c:pt idx="10">
                  <c:v>56</c:v>
                </c:pt>
              </c:numCache>
            </c:numRef>
          </c:val>
        </c:ser>
        <c:ser>
          <c:idx val="1"/>
          <c:order val="1"/>
          <c:tx>
            <c:strRef>
              <c:f>Health!$C$3</c:f>
              <c:strCache>
                <c:ptCount val="1"/>
                <c:pt idx="0">
                  <c:v>2015</c:v>
                </c:pt>
              </c:strCache>
            </c:strRef>
          </c:tx>
          <c:dLbls>
            <c:txPr>
              <a:bodyPr/>
              <a:lstStyle/>
              <a:p>
                <a:pPr>
                  <a:defRPr sz="80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Health!$C$4:$C$14</c:f>
              <c:numCache>
                <c:formatCode>#,##0_);\(#,##0\)</c:formatCode>
                <c:ptCount val="11"/>
                <c:pt idx="0">
                  <c:v>31</c:v>
                </c:pt>
                <c:pt idx="1">
                  <c:v>207</c:v>
                </c:pt>
                <c:pt idx="2">
                  <c:v>562</c:v>
                </c:pt>
                <c:pt idx="3">
                  <c:v>54</c:v>
                </c:pt>
                <c:pt idx="4">
                  <c:v>251</c:v>
                </c:pt>
                <c:pt idx="5">
                  <c:v>35</c:v>
                </c:pt>
                <c:pt idx="6">
                  <c:v>1070</c:v>
                </c:pt>
                <c:pt idx="7">
                  <c:v>548</c:v>
                </c:pt>
                <c:pt idx="8">
                  <c:v>95</c:v>
                </c:pt>
                <c:pt idx="9">
                  <c:v>47</c:v>
                </c:pt>
                <c:pt idx="10">
                  <c:v>100</c:v>
                </c:pt>
              </c:numCache>
            </c:numRef>
          </c:val>
        </c:ser>
        <c:gapWidth val="50"/>
        <c:axId val="90505216"/>
        <c:axId val="90506752"/>
      </c:barChart>
      <c:catAx>
        <c:axId val="90505216"/>
        <c:scaling>
          <c:orientation val="minMax"/>
        </c:scaling>
        <c:axPos val="l"/>
        <c:majorTickMark val="none"/>
        <c:tickLblPos val="nextTo"/>
        <c:txPr>
          <a:bodyPr/>
          <a:lstStyle/>
          <a:p>
            <a:pPr>
              <a:defRPr sz="800"/>
            </a:pPr>
            <a:endParaRPr lang="en-US"/>
          </a:p>
        </c:txPr>
        <c:crossAx val="90506752"/>
        <c:crosses val="autoZero"/>
        <c:auto val="1"/>
        <c:lblAlgn val="ctr"/>
        <c:lblOffset val="100"/>
      </c:catAx>
      <c:valAx>
        <c:axId val="90506752"/>
        <c:scaling>
          <c:orientation val="minMax"/>
        </c:scaling>
        <c:axPos val="b"/>
        <c:title>
          <c:tx>
            <c:rich>
              <a:bodyPr/>
              <a:lstStyle/>
              <a:p>
                <a:pPr>
                  <a:defRPr sz="800"/>
                </a:pPr>
                <a:r>
                  <a:rPr lang="en-US" sz="800"/>
                  <a:t>Numbers</a:t>
                </a:r>
              </a:p>
            </c:rich>
          </c:tx>
          <c:layout>
            <c:manualLayout>
              <c:xMode val="edge"/>
              <c:yMode val="edge"/>
              <c:x val="0.51790763899610592"/>
              <c:y val="0.95066435458519882"/>
            </c:manualLayout>
          </c:layout>
        </c:title>
        <c:numFmt formatCode="#,##0_);\(#,##0\)" sourceLinked="1"/>
        <c:tickLblPos val="nextTo"/>
        <c:txPr>
          <a:bodyPr/>
          <a:lstStyle/>
          <a:p>
            <a:pPr>
              <a:defRPr sz="800"/>
            </a:pPr>
            <a:endParaRPr lang="en-US"/>
          </a:p>
        </c:txPr>
        <c:crossAx val="90505216"/>
        <c:crosses val="autoZero"/>
        <c:crossBetween val="between"/>
      </c:valAx>
    </c:plotArea>
    <c:legend>
      <c:legendPos val="r"/>
      <c:layout>
        <c:manualLayout>
          <c:xMode val="edge"/>
          <c:yMode val="edge"/>
          <c:x val="0.86870481876040095"/>
          <c:y val="0.6374202587444685"/>
          <c:w val="0.11168733810234488"/>
          <c:h val="0.10532827288884256"/>
        </c:manualLayout>
      </c:layout>
      <c:txPr>
        <a:bodyPr/>
        <a:lstStyle/>
        <a:p>
          <a:pPr>
            <a:defRPr sz="1000"/>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pzam</cp:lastModifiedBy>
  <cp:revision>15</cp:revision>
  <dcterms:created xsi:type="dcterms:W3CDTF">2014-09-14T04:51:00Z</dcterms:created>
  <dcterms:modified xsi:type="dcterms:W3CDTF">2016-09-28T11:15:00Z</dcterms:modified>
</cp:coreProperties>
</file>