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C2014E" w:rsidRDefault="00C2014E"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 xml:space="preserve">ntly the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Pr="00FD79F3">
        <w:rPr>
          <w:rFonts w:ascii="Sylfaen" w:eastAsia="Batang" w:hAnsi="Sylfaen" w:cs="Arial"/>
          <w:sz w:val="22"/>
        </w:rPr>
        <w:t xml:space="preserve"> established </w:t>
      </w:r>
      <w:r w:rsidR="00590DD0">
        <w:rPr>
          <w:rFonts w:ascii="Sylfaen" w:eastAsia="Batang" w:hAnsi="Sylfaen" w:cs="Arial"/>
          <w:sz w:val="22"/>
        </w:rPr>
        <w:t>four</w:t>
      </w:r>
      <w:r w:rsidRPr="00FD79F3">
        <w:rPr>
          <w:rFonts w:ascii="Sylfaen" w:eastAsia="Batang" w:hAnsi="Sylfaen" w:cs="Arial"/>
          <w:sz w:val="22"/>
        </w:rPr>
        <w:t xml:space="preserve"> main Renewable Natural Resources (RNR) research centers. </w:t>
      </w:r>
    </w:p>
    <w:p w:rsidR="00590DD0" w:rsidRDefault="00590DD0" w:rsidP="004E52A1">
      <w:pPr>
        <w:spacing w:line="264" w:lineRule="auto"/>
        <w:jc w:val="both"/>
        <w:rPr>
          <w:rFonts w:ascii="Sylfaen" w:eastAsia="Batang" w:hAnsi="Sylfaen" w:cs="Arial"/>
          <w:sz w:val="22"/>
        </w:rPr>
      </w:pPr>
    </w:p>
    <w:p w:rsidR="004E52A1" w:rsidRPr="00915A2B" w:rsidRDefault="00312C05" w:rsidP="004E52A1">
      <w:pPr>
        <w:spacing w:line="264" w:lineRule="auto"/>
        <w:jc w:val="both"/>
        <w:rPr>
          <w:rFonts w:ascii="Sylfaen" w:eastAsia="Batang" w:hAnsi="Sylfaen" w:cs="Arial"/>
          <w:sz w:val="22"/>
        </w:rPr>
      </w:pPr>
      <w:r>
        <w:rPr>
          <w:rFonts w:ascii="Sylfaen" w:eastAsia="Batang" w:hAnsi="Sylfaen" w:cs="Arial"/>
          <w:sz w:val="22"/>
        </w:rPr>
        <w:t xml:space="preserve">The </w:t>
      </w:r>
      <w:proofErr w:type="spellStart"/>
      <w:r>
        <w:rPr>
          <w:rFonts w:ascii="Sylfaen" w:eastAsia="Batang" w:hAnsi="Sylfaen" w:cs="Arial"/>
          <w:sz w:val="22"/>
        </w:rPr>
        <w:t>MoA</w:t>
      </w:r>
      <w:r w:rsidR="00590DD0">
        <w:rPr>
          <w:rFonts w:ascii="Sylfaen" w:eastAsia="Batang" w:hAnsi="Sylfaen" w:cs="Arial"/>
          <w:sz w:val="22"/>
        </w:rPr>
        <w:t>F</w:t>
      </w:r>
      <w:proofErr w:type="spellEnd"/>
      <w:r w:rsidR="00FD79F3" w:rsidRPr="00FD79F3">
        <w:rPr>
          <w:rFonts w:ascii="Sylfaen" w:eastAsia="Batang" w:hAnsi="Sylfaen" w:cs="Arial"/>
          <w:sz w:val="22"/>
        </w:rPr>
        <w:t xml:space="preserve"> with the accumulated experiences having accomplished one five year plan to the other, maintains the three basic objectives that are to </w:t>
      </w:r>
      <w:proofErr w:type="spellStart"/>
      <w:r w:rsidR="00FD79F3" w:rsidRPr="00FD79F3">
        <w:rPr>
          <w:rFonts w:ascii="Sylfaen" w:eastAsia="Batang" w:hAnsi="Sylfaen" w:cs="Arial"/>
          <w:sz w:val="22"/>
        </w:rPr>
        <w:t>i</w:t>
      </w:r>
      <w:proofErr w:type="spellEnd"/>
      <w:r w:rsidR="00FD79F3" w:rsidRPr="00FD79F3">
        <w:rPr>
          <w:rFonts w:ascii="Sylfaen" w:eastAsia="Batang" w:hAnsi="Sylfaen" w:cs="Arial"/>
          <w:sz w:val="22"/>
        </w:rPr>
        <w:t xml:space="preserve">) conserve the environment, ii) enhance the rural </w:t>
      </w:r>
      <w:bookmarkStart w:id="0" w:name="_GoBack"/>
      <w:bookmarkEnd w:id="0"/>
      <w:r w:rsidR="00FD79F3" w:rsidRPr="00FD79F3">
        <w:rPr>
          <w:rFonts w:ascii="Sylfaen" w:eastAsia="Batang" w:hAnsi="Sylfaen" w:cs="Arial"/>
          <w:sz w:val="22"/>
        </w:rPr>
        <w:t xml:space="preserve">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w:t>
      </w:r>
      <w:r w:rsidR="00FD79F3" w:rsidRPr="004262A7">
        <w:rPr>
          <w:rFonts w:ascii="Sylfaen" w:eastAsia="Batang" w:hAnsi="Sylfaen" w:cs="Arial"/>
          <w:sz w:val="22"/>
        </w:rPr>
        <w:t>. In 201</w:t>
      </w:r>
      <w:r w:rsidR="004262A7" w:rsidRPr="004262A7">
        <w:rPr>
          <w:rFonts w:ascii="Sylfaen" w:eastAsia="Batang" w:hAnsi="Sylfaen" w:cs="Arial"/>
          <w:sz w:val="22"/>
        </w:rPr>
        <w:t>6</w:t>
      </w:r>
      <w:r w:rsidR="00FD79F3" w:rsidRPr="004262A7">
        <w:rPr>
          <w:rFonts w:ascii="Sylfaen" w:eastAsia="Batang" w:hAnsi="Sylfaen" w:cs="Arial"/>
          <w:sz w:val="22"/>
        </w:rPr>
        <w:t>, Agriculture contributed 1</w:t>
      </w:r>
      <w:r w:rsidR="004262A7" w:rsidRPr="004262A7">
        <w:rPr>
          <w:rFonts w:ascii="Sylfaen" w:eastAsia="Batang" w:hAnsi="Sylfaen" w:cs="Arial"/>
          <w:sz w:val="22"/>
        </w:rPr>
        <w:t xml:space="preserve">6.52 </w:t>
      </w:r>
      <w:r w:rsidR="001D50D5" w:rsidRPr="004262A7">
        <w:rPr>
          <w:rFonts w:ascii="Sylfaen" w:eastAsia="Batang" w:hAnsi="Sylfaen" w:cs="Arial"/>
          <w:sz w:val="22"/>
        </w:rPr>
        <w:t>p</w:t>
      </w:r>
      <w:r w:rsidR="00FD79F3" w:rsidRPr="004262A7">
        <w:rPr>
          <w:rFonts w:ascii="Sylfaen" w:eastAsia="Batang" w:hAnsi="Sylfaen" w:cs="Arial"/>
          <w:sz w:val="22"/>
        </w:rPr>
        <w:t>ercent to the total economy i.e. as measured by the Gross Domestic Product</w:t>
      </w:r>
      <w:r w:rsidR="00FD79F3" w:rsidRPr="00FD79F3">
        <w:rPr>
          <w:rFonts w:ascii="Sylfaen" w:eastAsia="Batang" w:hAnsi="Sylfaen" w:cs="Arial"/>
          <w:sz w:val="22"/>
        </w:rPr>
        <w:t xml:space="preserve">. </w:t>
      </w:r>
      <w:r w:rsidR="00FD79F3" w:rsidRPr="00915A2B">
        <w:rPr>
          <w:rFonts w:ascii="Sylfaen" w:eastAsia="Batang" w:hAnsi="Sylfaen" w:cs="Arial"/>
          <w:sz w:val="22"/>
        </w:rPr>
        <w:t xml:space="preserve">It was also the single largest sector that provides livelihood over </w:t>
      </w:r>
      <w:r w:rsidR="00915A2B" w:rsidRPr="00915A2B">
        <w:rPr>
          <w:rFonts w:ascii="Sylfaen" w:eastAsia="Batang" w:hAnsi="Sylfaen" w:cs="Arial"/>
          <w:sz w:val="22"/>
        </w:rPr>
        <w:t>58</w:t>
      </w:r>
      <w:r w:rsidR="00FD79F3" w:rsidRPr="00915A2B">
        <w:rPr>
          <w:rFonts w:ascii="Sylfaen" w:eastAsia="Batang" w:hAnsi="Sylfaen" w:cs="Arial"/>
          <w:sz w:val="22"/>
        </w:rPr>
        <w:t xml:space="preserve"> percent of the population as per </w:t>
      </w:r>
      <w:proofErr w:type="spellStart"/>
      <w:r w:rsidR="00FD79F3" w:rsidRPr="00915A2B">
        <w:rPr>
          <w:rFonts w:ascii="Sylfaen" w:eastAsia="Batang" w:hAnsi="Sylfaen" w:cs="Arial"/>
          <w:sz w:val="22"/>
        </w:rPr>
        <w:t>Labour</w:t>
      </w:r>
      <w:proofErr w:type="spellEnd"/>
      <w:r w:rsidR="00FD79F3" w:rsidRPr="00915A2B">
        <w:rPr>
          <w:rFonts w:ascii="Sylfaen" w:eastAsia="Batang" w:hAnsi="Sylfaen" w:cs="Arial"/>
          <w:sz w:val="22"/>
        </w:rPr>
        <w:t xml:space="preserve"> Force Survey 201</w:t>
      </w:r>
      <w:r w:rsidR="00915A2B" w:rsidRPr="00915A2B">
        <w:rPr>
          <w:rFonts w:ascii="Sylfaen" w:eastAsia="Batang" w:hAnsi="Sylfaen" w:cs="Arial"/>
          <w:sz w:val="22"/>
        </w:rPr>
        <w:t>5</w:t>
      </w:r>
      <w:r w:rsidR="004E52A1" w:rsidRPr="00915A2B">
        <w:rPr>
          <w:rFonts w:ascii="Sylfaen" w:eastAsia="Batang" w:hAnsi="Sylfaen" w:cs="Arial"/>
          <w:sz w:val="22"/>
        </w:rPr>
        <w:t>.</w:t>
      </w:r>
    </w:p>
    <w:p w:rsidR="00590DD0" w:rsidRDefault="00590DD0" w:rsidP="004E52A1">
      <w:pPr>
        <w:spacing w:line="264" w:lineRule="auto"/>
        <w:jc w:val="both"/>
        <w:rPr>
          <w:rFonts w:ascii="Sylfaen" w:eastAsia="Batang" w:hAnsi="Sylfaen" w:cs="Arial"/>
          <w:sz w:val="22"/>
        </w:rPr>
      </w:pPr>
    </w:p>
    <w:p w:rsidR="00FD79F3" w:rsidRPr="00FD79F3" w:rsidRDefault="00FD79F3" w:rsidP="004E52A1">
      <w:pPr>
        <w:spacing w:after="240" w:line="264" w:lineRule="auto"/>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w:t>
      </w:r>
      <w:r w:rsidR="00A95BA0" w:rsidRPr="00FD79F3">
        <w:rPr>
          <w:rFonts w:ascii="Sylfaen" w:eastAsia="Batang" w:hAnsi="Sylfaen" w:cs="Arial"/>
          <w:sz w:val="22"/>
        </w:rPr>
        <w:t>chi</w:t>
      </w:r>
      <w:r w:rsidR="00A95BA0">
        <w:rPr>
          <w:rFonts w:ascii="Sylfaen" w:eastAsia="Batang" w:hAnsi="Sylfaen" w:cs="Arial"/>
          <w:sz w:val="22"/>
        </w:rPr>
        <w:t>l</w:t>
      </w:r>
      <w:r w:rsidR="00A95BA0" w:rsidRPr="00FD79F3">
        <w:rPr>
          <w:rFonts w:ascii="Sylfaen" w:eastAsia="Batang" w:hAnsi="Sylfaen" w:cs="Arial"/>
          <w:sz w:val="22"/>
        </w:rPr>
        <w:t>ies</w:t>
      </w:r>
      <w:r w:rsidRPr="00FD79F3">
        <w:rPr>
          <w:rFonts w:ascii="Sylfaen" w:eastAsia="Batang" w:hAnsi="Sylfaen" w:cs="Arial"/>
          <w:sz w:val="22"/>
        </w:rPr>
        <w:t xml:space="preserve"> and vegetables. </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Pr="00FD79F3">
        <w:rPr>
          <w:rFonts w:ascii="Sylfaen" w:eastAsia="Batang" w:hAnsi="Sylfaen" w:cs="Arial"/>
          <w:sz w:val="22"/>
        </w:rPr>
        <w:t>Jatsa</w:t>
      </w:r>
      <w:proofErr w:type="spellEnd"/>
      <w:r w:rsidRPr="00FD79F3">
        <w:rPr>
          <w:rFonts w:ascii="Sylfaen" w:eastAsia="Batang" w:hAnsi="Sylfaen" w:cs="Arial"/>
          <w:sz w:val="22"/>
        </w:rPr>
        <w:t xml:space="preserve"> and </w:t>
      </w:r>
      <w:proofErr w:type="spellStart"/>
      <w:r w:rsidRPr="00FD79F3">
        <w:rPr>
          <w:rFonts w:ascii="Sylfaen" w:eastAsia="Batang" w:hAnsi="Sylfaen" w:cs="Arial"/>
          <w:sz w:val="22"/>
        </w:rPr>
        <w:t>Jatsam</w:t>
      </w:r>
      <w:proofErr w:type="spellEnd"/>
      <w:r w:rsidRPr="00FD79F3">
        <w:rPr>
          <w:rFonts w:ascii="Sylfaen" w:eastAsia="Batang" w:hAnsi="Sylfaen" w:cs="Arial"/>
          <w:sz w:val="22"/>
        </w:rPr>
        <w:t xml:space="preserve">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BC185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Back in 1988/89, the National Agronomic Survey was carried out in collaboration with the then Department of Agriculture. Though the </w:t>
      </w:r>
      <w:proofErr w:type="spellStart"/>
      <w:r w:rsidR="00590DD0">
        <w:rPr>
          <w:rFonts w:ascii="Sylfaen" w:eastAsia="Batang" w:hAnsi="Sylfaen" w:cs="Arial"/>
          <w:sz w:val="22"/>
        </w:rPr>
        <w:t>MoAF</w:t>
      </w:r>
      <w:proofErr w:type="spellEnd"/>
      <w:r w:rsidRPr="00FD79F3">
        <w:rPr>
          <w:rFonts w:ascii="Sylfaen" w:eastAsia="Batang" w:hAnsi="Sylfaen" w:cs="Arial"/>
          <w:sz w:val="22"/>
        </w:rPr>
        <w:t xml:space="preserve"> conducted nation-wide sample surveys called RNR Census in 2009, but the major source of data presented in this chapter are from</w:t>
      </w:r>
      <w:r w:rsidR="00A95BA0">
        <w:rPr>
          <w:rFonts w:ascii="Sylfaen" w:eastAsia="Batang" w:hAnsi="Sylfaen" w:cs="Arial"/>
          <w:sz w:val="22"/>
        </w:rPr>
        <w:t xml:space="preserve"> the Bhutan RNR Statistics 2016</w:t>
      </w:r>
      <w:r w:rsidR="009E1FF0">
        <w:rPr>
          <w:rFonts w:ascii="Sylfaen" w:eastAsia="Batang" w:hAnsi="Sylfaen" w:cs="Arial"/>
          <w:sz w:val="22"/>
        </w:rPr>
        <w:t xml:space="preserve"> and administrative records maintained by different departments under </w:t>
      </w:r>
      <w:r w:rsidR="005D0963">
        <w:rPr>
          <w:rFonts w:ascii="Sylfaen" w:eastAsia="Batang" w:hAnsi="Sylfaen" w:cs="Arial"/>
          <w:sz w:val="22"/>
        </w:rPr>
        <w:t xml:space="preserve">the </w:t>
      </w:r>
      <w:proofErr w:type="spellStart"/>
      <w:r w:rsidR="00590DD0">
        <w:rPr>
          <w:rFonts w:ascii="Sylfaen" w:eastAsia="Batang" w:hAnsi="Sylfaen" w:cs="Arial"/>
          <w:sz w:val="22"/>
        </w:rPr>
        <w:t>MoAF</w:t>
      </w:r>
      <w:proofErr w:type="spellEnd"/>
      <w:r w:rsidR="009E1FF0">
        <w:rPr>
          <w:rFonts w:ascii="Sylfaen" w:eastAsia="Batang" w:hAnsi="Sylfaen" w:cs="Arial"/>
          <w:sz w:val="22"/>
        </w:rPr>
        <w:t xml:space="preserve">. </w:t>
      </w:r>
    </w:p>
    <w:p w:rsidR="00FD79F3" w:rsidRPr="00FD79F3" w:rsidRDefault="00BC1853" w:rsidP="00FD79F3">
      <w:pPr>
        <w:spacing w:line="264" w:lineRule="auto"/>
        <w:jc w:val="both"/>
        <w:rPr>
          <w:rFonts w:ascii="Sylfaen" w:eastAsia="Batang" w:hAnsi="Sylfaen" w:cs="Arial"/>
          <w:sz w:val="22"/>
        </w:rPr>
      </w:pPr>
      <w:r w:rsidRPr="00BC1853">
        <w:rPr>
          <w:rFonts w:ascii="Sylfaen" w:eastAsia="Batang" w:hAnsi="Sylfaen" w:cs="Arial"/>
          <w:sz w:val="22"/>
        </w:rPr>
        <w:lastRenderedPageBreak/>
        <w:drawing>
          <wp:inline distT="0" distB="0" distL="0" distR="0">
            <wp:extent cx="4572000" cy="264795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FD79F3" w:rsidRPr="00FD79F3" w:rsidSect="00A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altName w:val="Segoe UI"/>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146F41"/>
    <w:rsid w:val="001620B4"/>
    <w:rsid w:val="001D50D5"/>
    <w:rsid w:val="00221E56"/>
    <w:rsid w:val="0022402F"/>
    <w:rsid w:val="00300CCE"/>
    <w:rsid w:val="00312C05"/>
    <w:rsid w:val="00330CDA"/>
    <w:rsid w:val="0034666E"/>
    <w:rsid w:val="00391A0A"/>
    <w:rsid w:val="003D2944"/>
    <w:rsid w:val="003D2D3B"/>
    <w:rsid w:val="004262A7"/>
    <w:rsid w:val="004E52A1"/>
    <w:rsid w:val="00520798"/>
    <w:rsid w:val="00590DD0"/>
    <w:rsid w:val="005C68D4"/>
    <w:rsid w:val="005D0963"/>
    <w:rsid w:val="00634F6D"/>
    <w:rsid w:val="0077751D"/>
    <w:rsid w:val="00915A2B"/>
    <w:rsid w:val="009E1FF0"/>
    <w:rsid w:val="00A95BA0"/>
    <w:rsid w:val="00AE2E9D"/>
    <w:rsid w:val="00B17D0A"/>
    <w:rsid w:val="00B51BCF"/>
    <w:rsid w:val="00BC1853"/>
    <w:rsid w:val="00C2014E"/>
    <w:rsid w:val="00D2511C"/>
    <w:rsid w:val="00D25945"/>
    <w:rsid w:val="00DC2055"/>
    <w:rsid w:val="00F7128E"/>
    <w:rsid w:val="00F76932"/>
    <w:rsid w:val="00FD7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E:\BackUp%20(Pem's%20File)\PUBLICATION\STATISTICAL%20YEAR%20BOOK\SYB%202017\SYB%202017%20(final%20copy)\General%20writeups\Graphs\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100"/>
            </a:pPr>
            <a:r>
              <a:rPr lang="en-US" sz="1100"/>
              <a:t>Percent Distribution</a:t>
            </a:r>
            <a:r>
              <a:rPr lang="en-US" sz="1100" baseline="0"/>
              <a:t> of Agriculture Areas - 2010</a:t>
            </a:r>
            <a:endParaRPr lang="en-US" sz="1100"/>
          </a:p>
        </c:rich>
      </c:tx>
    </c:title>
    <c:plotArea>
      <c:layout>
        <c:manualLayout>
          <c:layoutTarget val="inner"/>
          <c:xMode val="edge"/>
          <c:yMode val="edge"/>
          <c:x val="0.14406080489938783"/>
          <c:y val="0.17440653251676913"/>
          <c:w val="0.48696216097987893"/>
          <c:h val="0.81160360163313072"/>
        </c:manualLayout>
      </c:layout>
      <c:pieChart>
        <c:varyColors val="1"/>
        <c:ser>
          <c:idx val="0"/>
          <c:order val="0"/>
          <c:tx>
            <c:strRef>
              <c:f>Agriculture!$B$1</c:f>
              <c:strCache>
                <c:ptCount val="1"/>
                <c:pt idx="0">
                  <c:v>Percent</c:v>
                </c:pt>
              </c:strCache>
            </c:strRef>
          </c:tx>
          <c:dLbls>
            <c:dLbl>
              <c:idx val="0"/>
              <c:layout>
                <c:manualLayout>
                  <c:x val="-0.10043285214348206"/>
                  <c:y val="0.12818533100029192"/>
                </c:manualLayout>
              </c:layout>
              <c:showVal val="1"/>
            </c:dLbl>
            <c:dLbl>
              <c:idx val="1"/>
              <c:layout>
                <c:manualLayout>
                  <c:x val="9.2617563429571337E-2"/>
                  <c:y val="-0.2571525955088948"/>
                </c:manualLayout>
              </c:layout>
              <c:showVal val="1"/>
            </c:dLbl>
            <c:txPr>
              <a:bodyPr/>
              <a:lstStyle/>
              <a:p>
                <a:pPr>
                  <a:defRPr sz="1000" b="1"/>
                </a:pPr>
                <a:endParaRPr lang="en-US"/>
              </a:p>
            </c:txPr>
            <c:showVal val="1"/>
            <c:showLeaderLines val="1"/>
          </c:dLbls>
          <c:cat>
            <c:strRef>
              <c:f>Agriculture!$A$2:$A$7</c:f>
              <c:strCache>
                <c:ptCount val="6"/>
                <c:pt idx="0">
                  <c:v>Wetland</c:v>
                </c:pt>
                <c:pt idx="1">
                  <c:v>Dryland</c:v>
                </c:pt>
                <c:pt idx="2">
                  <c:v>Citrus Orchard</c:v>
                </c:pt>
                <c:pt idx="3">
                  <c:v>Apple Orchard</c:v>
                </c:pt>
                <c:pt idx="4">
                  <c:v>Arecanut Plantation</c:v>
                </c:pt>
                <c:pt idx="5">
                  <c:v>Cardamom Plantation</c:v>
                </c:pt>
              </c:strCache>
            </c:strRef>
          </c:cat>
          <c:val>
            <c:numRef>
              <c:f>Agriculture!$B$2:$B$7</c:f>
              <c:numCache>
                <c:formatCode>0</c:formatCode>
                <c:ptCount val="6"/>
                <c:pt idx="0">
                  <c:v>28.376936347306458</c:v>
                </c:pt>
                <c:pt idx="1">
                  <c:v>60.69592900208086</c:v>
                </c:pt>
                <c:pt idx="2">
                  <c:v>4.8802176890106184</c:v>
                </c:pt>
                <c:pt idx="3">
                  <c:v>1.850534440749106</c:v>
                </c:pt>
                <c:pt idx="4">
                  <c:v>0.99507354118128299</c:v>
                </c:pt>
                <c:pt idx="5">
                  <c:v>3.2013089796716883</c:v>
                </c:pt>
              </c:numCache>
            </c:numRef>
          </c:val>
        </c:ser>
        <c:firstSliceAng val="0"/>
      </c:pieChart>
    </c:plotArea>
    <c:legend>
      <c:legendPos val="r"/>
      <c:layout>
        <c:manualLayout>
          <c:xMode val="edge"/>
          <c:yMode val="edge"/>
          <c:x val="0.70563932633420934"/>
          <c:y val="0.18785287255759725"/>
          <c:w val="0.29436067366579266"/>
          <c:h val="0.71989574219889441"/>
        </c:manualLayout>
      </c:layout>
      <c:txPr>
        <a:bodyPr/>
        <a:lstStyle/>
        <a:p>
          <a:pPr>
            <a:defRPr sz="1000"/>
          </a:pPr>
          <a:endParaRPr lang="en-US"/>
        </a:p>
      </c:txPr>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22</cp:revision>
  <dcterms:created xsi:type="dcterms:W3CDTF">2014-09-14T05:00:00Z</dcterms:created>
  <dcterms:modified xsi:type="dcterms:W3CDTF">2017-10-17T06:05:00Z</dcterms:modified>
</cp:coreProperties>
</file>