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DEB" w:rsidRPr="005B4DEB" w:rsidRDefault="005B4DEB" w:rsidP="005B4DEB">
      <w:pPr>
        <w:keepNext/>
        <w:pBdr>
          <w:bottom w:val="single" w:sz="4" w:space="1" w:color="auto"/>
        </w:pBdr>
        <w:spacing w:after="60" w:line="276" w:lineRule="auto"/>
        <w:jc w:val="center"/>
        <w:outlineLvl w:val="3"/>
        <w:rPr>
          <w:rFonts w:ascii="Sylfaen" w:hAnsi="Sylfaen"/>
          <w:bCs/>
          <w:caps/>
          <w:color w:val="0070C0"/>
          <w:sz w:val="23"/>
          <w:szCs w:val="23"/>
        </w:rPr>
      </w:pPr>
      <w:r w:rsidRPr="005B4DEB">
        <w:rPr>
          <w:rFonts w:ascii="Sylfaen" w:hAnsi="Sylfaen"/>
          <w:bCs/>
          <w:caps/>
          <w:color w:val="0070C0"/>
          <w:sz w:val="23"/>
          <w:szCs w:val="23"/>
        </w:rPr>
        <w:t>Chapter 6</w:t>
      </w:r>
    </w:p>
    <w:p w:rsidR="005B4DEB" w:rsidRPr="005B4DEB" w:rsidRDefault="009266E4" w:rsidP="005B4DEB">
      <w:pPr>
        <w:keepNext/>
        <w:pBdr>
          <w:bottom w:val="single" w:sz="4" w:space="1" w:color="auto"/>
        </w:pBdr>
        <w:spacing w:after="60" w:line="276" w:lineRule="auto"/>
        <w:jc w:val="center"/>
        <w:outlineLvl w:val="3"/>
        <w:rPr>
          <w:rFonts w:ascii="Sylfaen" w:hAnsi="Sylfaen"/>
          <w:b/>
          <w:bCs/>
          <w:caps/>
          <w:color w:val="0070C0"/>
          <w:sz w:val="23"/>
          <w:szCs w:val="23"/>
        </w:rPr>
      </w:pPr>
      <w:r>
        <w:rPr>
          <w:rFonts w:ascii="Sylfaen" w:hAnsi="Sylfaen"/>
          <w:b/>
          <w:bCs/>
          <w:caps/>
          <w:color w:val="0070C0"/>
          <w:sz w:val="23"/>
          <w:szCs w:val="23"/>
        </w:rPr>
        <w:t>Environment</w:t>
      </w:r>
    </w:p>
    <w:p w:rsidR="005B4DEB" w:rsidRPr="005B4DEB" w:rsidRDefault="005B4DEB" w:rsidP="005B4DEB">
      <w:pPr>
        <w:jc w:val="both"/>
        <w:rPr>
          <w:rFonts w:ascii="Sylfaen" w:eastAsia="Batang" w:hAnsi="Sylfaen" w:cs="Arial"/>
        </w:rPr>
      </w:pPr>
      <w:r w:rsidRPr="005B4DEB">
        <w:rPr>
          <w:rFonts w:ascii="Sylfaen" w:eastAsia="Batang" w:hAnsi="Sylfaen" w:cs="Arial"/>
        </w:rPr>
        <w:t>The conservation of environment is one of the four pillars of Bhutan’s development philosophy of Gross National Happiness (GNH). Accordingly the Royal Government of Bhutan (</w:t>
      </w:r>
      <w:proofErr w:type="spellStart"/>
      <w:r w:rsidRPr="005B4DEB">
        <w:rPr>
          <w:rFonts w:ascii="Sylfaen" w:eastAsia="Batang" w:hAnsi="Sylfaen" w:cs="Arial"/>
        </w:rPr>
        <w:t>RGoB</w:t>
      </w:r>
      <w:proofErr w:type="spellEnd"/>
      <w:r w:rsidRPr="005B4DEB">
        <w:rPr>
          <w:rFonts w:ascii="Sylfaen" w:eastAsia="Batang" w:hAnsi="Sylfaen" w:cs="Arial"/>
        </w:rPr>
        <w:t>) has been putting constant effort in protecting the environment and the priority has been in the sustainable use of natural resources in all its policies, plans and programs.</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This chapter presents statistics which are related to environment. The statistics presented here are not so comprehensive particularly from the point that some of the statistics are already presented under other chapters. However, the statistics collected and presented in this chapter are organized based on the broad Framework for Development of Environmental Statistics (FDES) provided by the United Nations Statistics Division. The six components of FDES, namely, environmental conditions &amp; quality, environmental resources &amp; their use, emissions, residuals &amp; waste, extreme events &amp; disasters, human habitat &amp; environmental health, environmental protection, management &amp; engagement have been used to gather statistics from different sources. </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The chapter on Environment Statistics gives a general statistics on atmosphere, climate &amp; weather, hydrographic characteristics, geological &amp; geographic information, land cover, biodiversity and forest.  It also gives statistics on extraction &amp; trade of mineral, production &amp; use of energy, land use, timber resources &amp; their use, crops, livestock, water resources, emissions of </w:t>
      </w:r>
      <w:r w:rsidR="00E43971" w:rsidRPr="005B4DEB">
        <w:rPr>
          <w:rFonts w:ascii="Sylfaen" w:eastAsia="Batang" w:hAnsi="Sylfaen" w:cs="Arial"/>
        </w:rPr>
        <w:t>greenhouse</w:t>
      </w:r>
      <w:bookmarkStart w:id="0" w:name="_GoBack"/>
      <w:bookmarkEnd w:id="0"/>
      <w:r w:rsidRPr="005B4DEB">
        <w:rPr>
          <w:rFonts w:ascii="Sylfaen" w:eastAsia="Batang" w:hAnsi="Sylfaen" w:cs="Arial"/>
        </w:rPr>
        <w:t xml:space="preserve"> gases, occurrence &amp; impact of natural extreme events &amp; disasters, urban &amp; rural population, water &amp; sanitation, other urban habitat concerns and government environmental protection &amp; resource management expenditures.</w:t>
      </w:r>
    </w:p>
    <w:p w:rsidR="005B4DEB" w:rsidRPr="005B4DEB" w:rsidRDefault="005B4DEB" w:rsidP="005B4DEB">
      <w:pPr>
        <w:jc w:val="both"/>
        <w:rPr>
          <w:rFonts w:ascii="Sylfaen" w:eastAsia="Batang" w:hAnsi="Sylfaen" w:cs="Arial"/>
        </w:rPr>
      </w:pPr>
    </w:p>
    <w:p w:rsidR="005B4DEB" w:rsidRPr="005B4DEB" w:rsidRDefault="005B4DEB" w:rsidP="005B4DEB"/>
    <w:p w:rsidR="005B4DEB" w:rsidRPr="005B4DEB" w:rsidRDefault="004B0B30" w:rsidP="005B4DEB">
      <w:r w:rsidRPr="004B0B30">
        <w:drawing>
          <wp:inline distT="0" distB="0" distL="0" distR="0">
            <wp:extent cx="5210175" cy="258127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5B4DEB" w:rsidRPr="005B4DEB" w:rsidSect="00DE38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205B1B"/>
    <w:rsid w:val="00221E56"/>
    <w:rsid w:val="003D2944"/>
    <w:rsid w:val="004B0B30"/>
    <w:rsid w:val="005B4DEB"/>
    <w:rsid w:val="0077751D"/>
    <w:rsid w:val="009266E4"/>
    <w:rsid w:val="00A935AE"/>
    <w:rsid w:val="00B108D5"/>
    <w:rsid w:val="00BF7A75"/>
    <w:rsid w:val="00CD3569"/>
    <w:rsid w:val="00D2511C"/>
    <w:rsid w:val="00DE38AC"/>
    <w:rsid w:val="00E43971"/>
    <w:rsid w:val="00FD79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569"/>
    <w:rPr>
      <w:rFonts w:ascii="Tahoma" w:hAnsi="Tahoma" w:cs="Tahoma"/>
      <w:sz w:val="16"/>
      <w:szCs w:val="16"/>
    </w:rPr>
  </w:style>
  <w:style w:type="character" w:customStyle="1" w:styleId="BalloonTextChar">
    <w:name w:val="Balloon Text Char"/>
    <w:basedOn w:val="DefaultParagraphFont"/>
    <w:link w:val="BalloonText"/>
    <w:uiPriority w:val="99"/>
    <w:semiHidden/>
    <w:rsid w:val="00CD35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G:\SYB%202018%20(formats)\Pem's%20Part%202018\Graphs%202018%20(pem)\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tx>
        <c:rich>
          <a:bodyPr/>
          <a:lstStyle/>
          <a:p>
            <a:pPr>
              <a:defRPr sz="1200"/>
            </a:pPr>
            <a:r>
              <a:rPr lang="en-US" sz="1200"/>
              <a:t>Protected Areas in Bhutan (Sq Km), 2017</a:t>
            </a:r>
          </a:p>
        </c:rich>
      </c:tx>
    </c:title>
    <c:plotArea>
      <c:layout>
        <c:manualLayout>
          <c:layoutTarget val="inner"/>
          <c:xMode val="edge"/>
          <c:yMode val="edge"/>
          <c:x val="0.36175258641997132"/>
          <c:y val="0.13415662025297687"/>
          <c:w val="0.58900974541859463"/>
          <c:h val="0.71000961711847355"/>
        </c:manualLayout>
      </c:layout>
      <c:barChart>
        <c:barDir val="bar"/>
        <c:grouping val="stacked"/>
        <c:ser>
          <c:idx val="0"/>
          <c:order val="0"/>
          <c:dLbls>
            <c:dLbl>
              <c:idx val="0"/>
              <c:layout>
                <c:manualLayout>
                  <c:x val="6.6008137157662489E-2"/>
                  <c:y val="0"/>
                </c:manualLayout>
              </c:layout>
              <c:dLblPos val="inEnd"/>
              <c:showVal val="1"/>
            </c:dLbl>
            <c:dLbl>
              <c:idx val="1"/>
              <c:layout>
                <c:manualLayout>
                  <c:x val="7.0820800356253683E-2"/>
                  <c:y val="-3.4763866445319352E-7"/>
                </c:manualLayout>
              </c:layout>
              <c:dLblPos val="inEnd"/>
              <c:showVal val="1"/>
            </c:dLbl>
            <c:dLbl>
              <c:idx val="2"/>
              <c:layout>
                <c:manualLayout>
                  <c:x val="6.6008137157662586E-2"/>
                  <c:y val="8.0940933984763496E-17"/>
                </c:manualLayout>
              </c:layout>
              <c:dLblPos val="inEnd"/>
              <c:showVal val="1"/>
            </c:dLbl>
            <c:dLbl>
              <c:idx val="3"/>
              <c:layout>
                <c:manualLayout>
                  <c:x val="6.8578831245066099E-2"/>
                  <c:y val="-3.4763866437225259E-7"/>
                </c:manualLayout>
              </c:layout>
              <c:dLblPos val="inEnd"/>
              <c:showVal val="1"/>
            </c:dLbl>
            <c:dLbl>
              <c:idx val="4"/>
              <c:layout>
                <c:manualLayout>
                  <c:x val="6.6008137157662489E-2"/>
                  <c:y val="0"/>
                </c:manualLayout>
              </c:layout>
              <c:dLblPos val="inEnd"/>
              <c:showVal val="1"/>
            </c:dLbl>
            <c:dLbl>
              <c:idx val="5"/>
              <c:layout>
                <c:manualLayout>
                  <c:x val="6.8250106268849975E-2"/>
                  <c:y val="0"/>
                </c:manualLayout>
              </c:layout>
              <c:dLblPos val="inEnd"/>
              <c:showVal val="1"/>
            </c:dLbl>
            <c:dLbl>
              <c:idx val="6"/>
              <c:layout>
                <c:manualLayout>
                  <c:x val="4.9984413901989835E-2"/>
                  <c:y val="-4.4150110375275895E-3"/>
                </c:manualLayout>
              </c:layout>
              <c:dLblPos val="inEnd"/>
              <c:showVal val="1"/>
            </c:dLbl>
            <c:dLbl>
              <c:idx val="7"/>
              <c:layout>
                <c:manualLayout>
                  <c:x val="5.2883428131894908E-2"/>
                  <c:y val="0"/>
                </c:manualLayout>
              </c:layout>
              <c:dLblPos val="inEnd"/>
              <c:showVal val="1"/>
            </c:dLbl>
            <c:dLbl>
              <c:idx val="8"/>
              <c:layout>
                <c:manualLayout>
                  <c:x val="5.5125599659939684E-2"/>
                  <c:y val="0"/>
                </c:manualLayout>
              </c:layout>
              <c:dLblPos val="inEnd"/>
              <c:showVal val="1"/>
            </c:dLbl>
            <c:dLbl>
              <c:idx val="9"/>
              <c:layout>
                <c:manualLayout>
                  <c:x val="4.9327354260089683E-2"/>
                  <c:y val="0"/>
                </c:manualLayout>
              </c:layout>
              <c:dLblPos val="inEnd"/>
              <c:showVal val="1"/>
            </c:dLbl>
            <c:dLbl>
              <c:idx val="10"/>
              <c:layout>
                <c:manualLayout>
                  <c:x val="4.9327354260089683E-2"/>
                  <c:y val="0"/>
                </c:manualLayout>
              </c:layout>
              <c:dLblPos val="inEnd"/>
              <c:showVal val="1"/>
            </c:dLbl>
            <c:dLbl>
              <c:idx val="11"/>
              <c:layout>
                <c:manualLayout>
                  <c:x val="4.1015727789810337E-2"/>
                  <c:y val="6.4869374771862128E-4"/>
                </c:manualLayout>
              </c:layout>
              <c:dLblPos val="inEnd"/>
              <c:showVal val="1"/>
            </c:dLbl>
            <c:txPr>
              <a:bodyPr/>
              <a:lstStyle/>
              <a:p>
                <a:pPr>
                  <a:defRPr sz="800"/>
                </a:pPr>
                <a:endParaRPr lang="en-US"/>
              </a:p>
            </c:txPr>
            <c:dLblPos val="inEnd"/>
            <c:showVal val="1"/>
          </c:dLbls>
          <c:cat>
            <c:strRef>
              <c:f>Environment!$A$3:$A$14</c:f>
              <c:strCache>
                <c:ptCount val="12"/>
                <c:pt idx="0">
                  <c:v>  Wangchuck Centenial National Park</c:v>
                </c:pt>
                <c:pt idx="1">
                  <c:v>   Jigme Dorji National Park</c:v>
                </c:pt>
                <c:pt idx="2">
                  <c:v>   Biological Corridors</c:v>
                </c:pt>
                <c:pt idx="3">
                  <c:v>   Jigme Singye Wangchuck National Park</c:v>
                </c:pt>
                <c:pt idx="4">
                  <c:v>   Bomdeling Wildlife Sanctuary</c:v>
                </c:pt>
                <c:pt idx="5">
                  <c:v>   Royal Manas National Park</c:v>
                </c:pt>
                <c:pt idx="6">
                  <c:v>   Phrumsengla National Park</c:v>
                </c:pt>
                <c:pt idx="7">
                  <c:v>   Sakteng Wildlife Sanctuary</c:v>
                </c:pt>
                <c:pt idx="8">
                  <c:v>   Jigme Khesar Strict Nature Reserve</c:v>
                </c:pt>
                <c:pt idx="9">
                  <c:v>   JomotshangkhaWildlife Sanctuary</c:v>
                </c:pt>
                <c:pt idx="10">
                  <c:v>   Phibsoo Wildlife Sanctuary</c:v>
                </c:pt>
                <c:pt idx="11">
                  <c:v>   Royal Botanical Park </c:v>
                </c:pt>
              </c:strCache>
            </c:strRef>
          </c:cat>
          <c:val>
            <c:numRef>
              <c:f>Environment!$B$3:$B$14</c:f>
              <c:numCache>
                <c:formatCode>#,##0_);\(#,##0\)</c:formatCode>
                <c:ptCount val="12"/>
                <c:pt idx="0">
                  <c:v>4914</c:v>
                </c:pt>
                <c:pt idx="1">
                  <c:v>4316</c:v>
                </c:pt>
                <c:pt idx="2">
                  <c:v>3307.14</c:v>
                </c:pt>
                <c:pt idx="3">
                  <c:v>1730</c:v>
                </c:pt>
                <c:pt idx="4">
                  <c:v>1520</c:v>
                </c:pt>
                <c:pt idx="5">
                  <c:v>1057</c:v>
                </c:pt>
                <c:pt idx="6">
                  <c:v>905.05</c:v>
                </c:pt>
                <c:pt idx="7">
                  <c:v>740.6</c:v>
                </c:pt>
                <c:pt idx="8">
                  <c:v>609.51</c:v>
                </c:pt>
                <c:pt idx="9">
                  <c:v>334.72999999999996</c:v>
                </c:pt>
                <c:pt idx="10">
                  <c:v>268.92999999999995</c:v>
                </c:pt>
                <c:pt idx="11">
                  <c:v>47</c:v>
                </c:pt>
              </c:numCache>
            </c:numRef>
          </c:val>
        </c:ser>
        <c:dLbls>
          <c:showVal val="1"/>
        </c:dLbls>
        <c:gapWidth val="30"/>
        <c:overlap val="100"/>
        <c:axId val="34666368"/>
        <c:axId val="34667904"/>
      </c:barChart>
      <c:catAx>
        <c:axId val="34666368"/>
        <c:scaling>
          <c:orientation val="minMax"/>
        </c:scaling>
        <c:axPos val="l"/>
        <c:majorTickMark val="none"/>
        <c:tickLblPos val="nextTo"/>
        <c:txPr>
          <a:bodyPr/>
          <a:lstStyle/>
          <a:p>
            <a:pPr>
              <a:defRPr sz="900"/>
            </a:pPr>
            <a:endParaRPr lang="en-US"/>
          </a:p>
        </c:txPr>
        <c:crossAx val="34667904"/>
        <c:crosses val="autoZero"/>
        <c:auto val="1"/>
        <c:lblAlgn val="ctr"/>
        <c:lblOffset val="100"/>
      </c:catAx>
      <c:valAx>
        <c:axId val="34667904"/>
        <c:scaling>
          <c:orientation val="minMax"/>
        </c:scaling>
        <c:axPos val="b"/>
        <c:numFmt formatCode="#,##0_);\(#,##0\)" sourceLinked="1"/>
        <c:majorTickMark val="none"/>
        <c:tickLblPos val="nextTo"/>
        <c:spPr>
          <a:ln w="9525">
            <a:noFill/>
          </a:ln>
        </c:spPr>
        <c:txPr>
          <a:bodyPr/>
          <a:lstStyle/>
          <a:p>
            <a:pPr>
              <a:defRPr sz="900"/>
            </a:pPr>
            <a:endParaRPr lang="en-US"/>
          </a:p>
        </c:txPr>
        <c:crossAx val="34666368"/>
        <c:crosses val="autoZero"/>
        <c:crossBetween val="between"/>
      </c:valAx>
    </c:plotArea>
    <c:plotVisOnly val="1"/>
  </c:chart>
  <c:spPr>
    <a:solidFill>
      <a:schemeClr val="lt1"/>
    </a:solidFill>
    <a:ln w="9525"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Pem Zangmo</cp:lastModifiedBy>
  <cp:revision>7</cp:revision>
  <dcterms:created xsi:type="dcterms:W3CDTF">2014-09-14T05:01:00Z</dcterms:created>
  <dcterms:modified xsi:type="dcterms:W3CDTF">2018-09-14T06:29:00Z</dcterms:modified>
</cp:coreProperties>
</file>